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428D" w14:textId="77777777" w:rsidR="00C24C4A" w:rsidRDefault="00C24C4A" w:rsidP="00BF4CA8">
      <w:pPr>
        <w:autoSpaceDE w:val="0"/>
        <w:autoSpaceDN w:val="0"/>
        <w:spacing w:after="0" w:line="240" w:lineRule="auto"/>
        <w:rPr>
          <w:b/>
        </w:rPr>
      </w:pPr>
      <w:bookmarkStart w:id="0" w:name="_GoBack"/>
      <w:bookmarkEnd w:id="0"/>
    </w:p>
    <w:tbl>
      <w:tblPr>
        <w:tblW w:w="13155" w:type="dxa"/>
        <w:jc w:val="center"/>
        <w:tblLook w:val="04A0" w:firstRow="1" w:lastRow="0" w:firstColumn="1" w:lastColumn="0" w:noHBand="0" w:noVBand="1"/>
      </w:tblPr>
      <w:tblGrid>
        <w:gridCol w:w="1839"/>
        <w:gridCol w:w="3619"/>
        <w:gridCol w:w="3917"/>
        <w:gridCol w:w="3780"/>
      </w:tblGrid>
      <w:tr w:rsidR="00BB2F28" w:rsidRPr="00F85393" w14:paraId="01EF0659" w14:textId="77777777" w:rsidTr="002601FE">
        <w:trPr>
          <w:trHeight w:val="394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70399" w14:textId="77777777" w:rsidR="00BB2F28" w:rsidRPr="00BB2F28" w:rsidRDefault="00DC27FB" w:rsidP="00BB2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COMPETENCIE</w:t>
            </w:r>
            <w:r w:rsidR="00BB2F28" w:rsidRPr="00BB2F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1DF65" w14:textId="77777777" w:rsidR="00BB2F28" w:rsidRPr="00BB2F28" w:rsidRDefault="00DC27FB" w:rsidP="00BB2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Exemplary</w:t>
            </w:r>
            <w:r w:rsidR="008734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- 3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74053A" w14:textId="77777777" w:rsidR="00BB2F28" w:rsidRPr="00BB2F28" w:rsidRDefault="0087340A" w:rsidP="00BB2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Competent - 2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4C41" w14:textId="77777777" w:rsidR="00BB2F28" w:rsidRPr="00BB2F28" w:rsidRDefault="0087340A" w:rsidP="00BB2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Developing - 1</w:t>
            </w:r>
          </w:p>
        </w:tc>
      </w:tr>
      <w:tr w:rsidR="007D54B3" w:rsidRPr="00F85393" w14:paraId="3C676E27" w14:textId="77777777" w:rsidTr="005447EC">
        <w:trPr>
          <w:trHeight w:val="601"/>
          <w:jc w:val="center"/>
        </w:trPr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D348AB" w14:textId="77777777" w:rsidR="007D54B3" w:rsidRPr="005447EC" w:rsidRDefault="007D54B3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47EC">
              <w:rPr>
                <w:rFonts w:eastAsia="Times New Roman"/>
                <w:b/>
                <w:color w:val="000000"/>
                <w:sz w:val="18"/>
                <w:szCs w:val="18"/>
              </w:rPr>
              <w:t>Analytical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4C6" w14:textId="77777777" w:rsidR="007D54B3" w:rsidRPr="0087340A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F85393">
              <w:rPr>
                <w:rFonts w:cs="Arial"/>
                <w:sz w:val="16"/>
                <w:szCs w:val="18"/>
              </w:rPr>
              <w:t>Thesis or central idea is clear, compelling, arguable, original, and complex.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59CD" w14:textId="77777777" w:rsidR="007D54B3" w:rsidRPr="0087340A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87340A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r w:rsidRPr="00F85393">
              <w:rPr>
                <w:rFonts w:cs="Arial"/>
                <w:sz w:val="16"/>
                <w:szCs w:val="18"/>
              </w:rPr>
              <w:t>Thesis/central idea is clear but somewhat simplistic, obvious, and/or superficial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008F" w14:textId="77777777" w:rsidR="007D54B3" w:rsidRPr="0087340A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F85393">
              <w:rPr>
                <w:rFonts w:cs="Arial"/>
                <w:sz w:val="16"/>
                <w:szCs w:val="18"/>
              </w:rPr>
              <w:t>Thesis/central idea may be absent or unclear or unfocused or confused</w:t>
            </w:r>
          </w:p>
        </w:tc>
      </w:tr>
      <w:tr w:rsidR="007D54B3" w:rsidRPr="00F85393" w14:paraId="03839330" w14:textId="77777777" w:rsidTr="005447EC">
        <w:trPr>
          <w:trHeight w:val="890"/>
          <w:jc w:val="center"/>
        </w:trPr>
        <w:tc>
          <w:tcPr>
            <w:tcW w:w="1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F99FD6" w14:textId="77777777" w:rsidR="007D54B3" w:rsidRPr="005447EC" w:rsidRDefault="007D54B3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D480" w14:textId="77777777" w:rsidR="007D54B3" w:rsidRPr="0087340A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F85393">
              <w:rPr>
                <w:rFonts w:cs="Arial"/>
                <w:sz w:val="16"/>
                <w:szCs w:val="18"/>
              </w:rPr>
              <w:t>Analytical framework demonstrates a sophisticated understanding of economic theories with insightful assumptions that lends itself to convincing conclusions.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DA5C" w14:textId="77777777" w:rsidR="007D54B3" w:rsidRPr="0087340A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F85393">
              <w:rPr>
                <w:rFonts w:cs="Arial"/>
                <w:sz w:val="16"/>
                <w:szCs w:val="18"/>
              </w:rPr>
              <w:t xml:space="preserve">Framework demonstrates adequate understanding of economic theories </w:t>
            </w:r>
            <w:proofErr w:type="gramStart"/>
            <w:r w:rsidRPr="00F85393">
              <w:rPr>
                <w:rFonts w:cs="Arial"/>
                <w:sz w:val="16"/>
                <w:szCs w:val="18"/>
              </w:rPr>
              <w:t>sufficient</w:t>
            </w:r>
            <w:proofErr w:type="gramEnd"/>
            <w:r w:rsidRPr="00F85393">
              <w:rPr>
                <w:rFonts w:cs="Arial"/>
                <w:sz w:val="16"/>
                <w:szCs w:val="18"/>
              </w:rPr>
              <w:t xml:space="preserve"> to the purpose with defendable assumptions that lends itself to useful conclusions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ED8B" w14:textId="77777777" w:rsidR="007D54B3" w:rsidRPr="00F85393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cs="Arial"/>
                <w:sz w:val="16"/>
                <w:szCs w:val="18"/>
              </w:rPr>
            </w:pPr>
            <w:r w:rsidRPr="0087340A">
              <w:rPr>
                <w:rFonts w:eastAsia="Times New Roman"/>
                <w:color w:val="000000"/>
                <w:sz w:val="16"/>
                <w:szCs w:val="18"/>
              </w:rPr>
              <w:t>Framework makes inappropriate or incomplete use of economic theory or uses assumptions that are unreasonable, and that does not lead to a useful conclusion</w:t>
            </w:r>
          </w:p>
        </w:tc>
      </w:tr>
      <w:tr w:rsidR="007D54B3" w:rsidRPr="00F85393" w14:paraId="612CC0BD" w14:textId="77777777" w:rsidTr="005447EC">
        <w:trPr>
          <w:trHeight w:val="809"/>
          <w:jc w:val="center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B259EC" w14:textId="77777777" w:rsidR="007D54B3" w:rsidRPr="005447EC" w:rsidRDefault="007D54B3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A97E" w14:textId="77777777" w:rsidR="007D54B3" w:rsidRPr="00F85393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cs="Arial"/>
                <w:sz w:val="16"/>
                <w:szCs w:val="18"/>
              </w:rPr>
            </w:pPr>
            <w:r w:rsidRPr="0087340A">
              <w:rPr>
                <w:rFonts w:eastAsia="Times New Roman"/>
                <w:color w:val="000000"/>
                <w:sz w:val="16"/>
                <w:szCs w:val="18"/>
              </w:rPr>
              <w:t>Analysis uses innovative quantitative techniques that demonstrate a creative approach to the problem.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4328" w14:textId="77777777" w:rsidR="007D54B3" w:rsidRPr="0087340A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87340A">
              <w:rPr>
                <w:rFonts w:eastAsia="Times New Roman"/>
                <w:color w:val="000000"/>
                <w:sz w:val="16"/>
                <w:szCs w:val="18"/>
              </w:rPr>
              <w:t>Analysis uses competent quantitative techniques appropriate to the problem and accepted in the discipline.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D17" w14:textId="77777777" w:rsidR="007D54B3" w:rsidRPr="00F85393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cs="Arial"/>
                <w:sz w:val="16"/>
                <w:szCs w:val="18"/>
              </w:rPr>
            </w:pPr>
            <w:r w:rsidRPr="0087340A">
              <w:rPr>
                <w:rFonts w:eastAsia="Times New Roman"/>
                <w:color w:val="000000"/>
                <w:sz w:val="16"/>
                <w:szCs w:val="18"/>
              </w:rPr>
              <w:t>Quantitative techniques are inappropriate to the problem or failed to make a substantial contribution to the problem</w:t>
            </w:r>
          </w:p>
        </w:tc>
      </w:tr>
      <w:tr w:rsidR="007D54B3" w:rsidRPr="00F85393" w14:paraId="255CB2D6" w14:textId="77777777" w:rsidTr="005447EC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EAF425" w14:textId="77777777" w:rsidR="007D54B3" w:rsidRPr="005447EC" w:rsidRDefault="007D54B3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47EC">
              <w:rPr>
                <w:rFonts w:eastAsia="Times New Roman"/>
                <w:b/>
                <w:color w:val="000000"/>
                <w:sz w:val="18"/>
                <w:szCs w:val="18"/>
              </w:rPr>
              <w:t> Critical Thinking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EEFB" w14:textId="77777777" w:rsidR="007D54B3" w:rsidRPr="007D54B3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>Demonstrated sophisticated understanding of the impact of assumptions, parameters, and robustness of the results presented, and the robustness of the result is very high.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E39" w14:textId="77777777" w:rsidR="007D54B3" w:rsidRPr="007D54B3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 xml:space="preserve"> Good understanding of the robustness of results, but robustness still vulnerable to the way the analysis was done.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FCEC8" w14:textId="77777777" w:rsidR="007D54B3" w:rsidRPr="007D54B3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 xml:space="preserve"> Insufficient or erroneous explanation of the robustness of the result to the way the analysis was done. </w:t>
            </w:r>
          </w:p>
        </w:tc>
      </w:tr>
      <w:tr w:rsidR="007D54B3" w:rsidRPr="00F85393" w14:paraId="3A99B18F" w14:textId="77777777" w:rsidTr="005447EC">
        <w:trPr>
          <w:trHeight w:val="300"/>
          <w:jc w:val="center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58FF5" w14:textId="77777777" w:rsidR="007D54B3" w:rsidRPr="005447EC" w:rsidRDefault="007D54B3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B080" w14:textId="77777777" w:rsidR="007D54B3" w:rsidRPr="007D54B3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>Analysis results comprehensively used to generate and evaluate policy alternatives.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FA24" w14:textId="77777777" w:rsidR="007D54B3" w:rsidRPr="007D54B3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>Analysis results useful for answering specific question for which the analysis was designed but does not offer broader insight into the problem.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02D" w14:textId="77777777" w:rsidR="007D54B3" w:rsidRPr="007D54B3" w:rsidRDefault="007D54B3" w:rsidP="00684E18">
            <w:pPr>
              <w:pStyle w:val="ColorfulList-Accent1"/>
              <w:numPr>
                <w:ilvl w:val="0"/>
                <w:numId w:val="10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>Results do not contribute to answering research question or are not useful to a policy maker/planner/manager.</w:t>
            </w:r>
          </w:p>
        </w:tc>
      </w:tr>
      <w:tr w:rsidR="00FA4986" w:rsidRPr="00F85393" w14:paraId="64BA9BC5" w14:textId="77777777" w:rsidTr="005447EC">
        <w:trPr>
          <w:trHeight w:val="836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D922B" w14:textId="77777777" w:rsidR="00FA4986" w:rsidRPr="005447EC" w:rsidRDefault="00FA4986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47EC">
              <w:rPr>
                <w:rFonts w:eastAsia="Times New Roman"/>
                <w:b/>
                <w:color w:val="000000"/>
                <w:sz w:val="18"/>
                <w:szCs w:val="18"/>
              </w:rPr>
              <w:t>Quantitative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F95" w14:textId="77777777" w:rsidR="00FA4986" w:rsidRPr="007D54B3" w:rsidRDefault="00FA4986" w:rsidP="00684E18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7D54B3">
              <w:rPr>
                <w:rFonts w:eastAsia="Times New Roman"/>
                <w:color w:val="000000"/>
                <w:sz w:val="16"/>
                <w:szCs w:val="16"/>
              </w:rPr>
              <w:t>Application of innovative mathematical and econometrics tools to analyze economic problems.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074D" w14:textId="77777777" w:rsidR="00FA4986" w:rsidRPr="007D54B3" w:rsidRDefault="00FA4986" w:rsidP="00684E18">
            <w:pPr>
              <w:pStyle w:val="ColorfulList-Accent1"/>
              <w:numPr>
                <w:ilvl w:val="0"/>
                <w:numId w:val="3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6"/>
              </w:rPr>
            </w:pPr>
            <w:r w:rsidRPr="007D54B3">
              <w:rPr>
                <w:rFonts w:eastAsia="Times New Roman"/>
                <w:color w:val="000000"/>
                <w:sz w:val="16"/>
                <w:szCs w:val="16"/>
              </w:rPr>
              <w:t xml:space="preserve">Application of mathematical and econometrics tools were </w:t>
            </w:r>
            <w:proofErr w:type="gramStart"/>
            <w:r w:rsidRPr="007D54B3">
              <w:rPr>
                <w:rFonts w:eastAsia="Times New Roman"/>
                <w:color w:val="000000"/>
                <w:sz w:val="16"/>
                <w:szCs w:val="16"/>
              </w:rPr>
              <w:t>sufficient</w:t>
            </w:r>
            <w:proofErr w:type="gramEnd"/>
            <w:r w:rsidRPr="007D54B3">
              <w:rPr>
                <w:rFonts w:eastAsia="Times New Roman"/>
                <w:color w:val="000000"/>
                <w:sz w:val="16"/>
                <w:szCs w:val="16"/>
              </w:rPr>
              <w:t xml:space="preserve"> and appropriate to analyze economic problems.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FC73" w14:textId="77777777" w:rsidR="00FA4986" w:rsidRPr="007D54B3" w:rsidRDefault="00FA4986" w:rsidP="00684E18">
            <w:pPr>
              <w:pStyle w:val="ColorfulList-Accent1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  <w:sz w:val="16"/>
                <w:szCs w:val="16"/>
              </w:rPr>
            </w:pPr>
            <w:r w:rsidRPr="007D54B3">
              <w:rPr>
                <w:rFonts w:eastAsia="Times New Roman"/>
                <w:color w:val="000000"/>
                <w:sz w:val="16"/>
                <w:szCs w:val="16"/>
              </w:rPr>
              <w:t xml:space="preserve">Formal mathematical and/or econometric tools were not applied, or tools applied were not appropriate to address the economic problems under study </w:t>
            </w:r>
          </w:p>
        </w:tc>
      </w:tr>
      <w:tr w:rsidR="00FA4986" w:rsidRPr="00F85393" w14:paraId="150F3994" w14:textId="77777777" w:rsidTr="005447EC">
        <w:trPr>
          <w:trHeight w:val="900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F6C628" w14:textId="77777777" w:rsidR="00FA4986" w:rsidRPr="005447EC" w:rsidRDefault="00FA4986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47EC">
              <w:rPr>
                <w:rFonts w:eastAsia="Times New Roman"/>
                <w:b/>
                <w:color w:val="000000"/>
                <w:sz w:val="18"/>
                <w:szCs w:val="18"/>
              </w:rPr>
              <w:t>Statistical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D475" w14:textId="77777777" w:rsidR="00FA4986" w:rsidRPr="00FA4986" w:rsidRDefault="00FA4986" w:rsidP="00684E18">
            <w:pPr>
              <w:pStyle w:val="ColorfulList-Accent1"/>
              <w:numPr>
                <w:ilvl w:val="0"/>
                <w:numId w:val="5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8"/>
                <w:szCs w:val="18"/>
              </w:rPr>
            </w:pPr>
            <w:r w:rsidRPr="00FA4986">
              <w:rPr>
                <w:rFonts w:eastAsia="Times New Roman"/>
                <w:color w:val="000000"/>
                <w:sz w:val="16"/>
                <w:szCs w:val="18"/>
              </w:rPr>
              <w:t xml:space="preserve">Original dataset is used to analyze the problem under study.  Collected </w:t>
            </w:r>
            <w:proofErr w:type="gramStart"/>
            <w:r w:rsidRPr="00FA4986">
              <w:rPr>
                <w:rFonts w:eastAsia="Times New Roman"/>
                <w:color w:val="000000"/>
                <w:sz w:val="16"/>
                <w:szCs w:val="18"/>
              </w:rPr>
              <w:t>sufficient</w:t>
            </w:r>
            <w:proofErr w:type="gramEnd"/>
            <w:r w:rsidRPr="00FA4986">
              <w:rPr>
                <w:rFonts w:eastAsia="Times New Roman"/>
                <w:color w:val="000000"/>
                <w:sz w:val="16"/>
                <w:szCs w:val="18"/>
              </w:rPr>
              <w:t xml:space="preserve"> data observations from reliable sources that are suitable for econometric analysis.  </w:t>
            </w:r>
            <w:r>
              <w:rPr>
                <w:rFonts w:eastAsia="Times New Roman"/>
                <w:color w:val="000000"/>
                <w:sz w:val="16"/>
                <w:szCs w:val="18"/>
              </w:rPr>
              <w:t>A</w:t>
            </w:r>
            <w:r w:rsidRPr="00FA4986">
              <w:rPr>
                <w:rFonts w:eastAsia="Times New Roman"/>
                <w:color w:val="000000"/>
                <w:sz w:val="16"/>
                <w:szCs w:val="18"/>
              </w:rPr>
              <w:t xml:space="preserve">ble to organize and manipulate data for conducting economic analysis.  Understood limitations of the data.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63DF" w14:textId="77777777" w:rsidR="00FA4986" w:rsidRPr="00FA4986" w:rsidRDefault="00FA4986" w:rsidP="00684E18">
            <w:pPr>
              <w:pStyle w:val="ColorfulList-Accent1"/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  <w:sz w:val="18"/>
                <w:szCs w:val="18"/>
              </w:rPr>
            </w:pPr>
            <w:r w:rsidRPr="00FA4986">
              <w:rPr>
                <w:rFonts w:eastAsia="Times New Roman"/>
                <w:color w:val="000000"/>
                <w:sz w:val="16"/>
                <w:szCs w:val="18"/>
              </w:rPr>
              <w:t>Collected enough data observations from reliable sources that are suitable for econometric analysis.  Was able to organize and manipulate data for conducting economic analysis.  Understood limitations of the data.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33E9" w14:textId="77777777" w:rsidR="00FA4986" w:rsidRPr="00FA4986" w:rsidRDefault="00FA4986" w:rsidP="00684E18">
            <w:pPr>
              <w:pStyle w:val="ColorfulList-Accent1"/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  <w:sz w:val="18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>Data collected is not suitable for econometric analysis; or data was not collected from reliable sources; or data was not manipulated to be suitable for econometric analysis.</w:t>
            </w:r>
          </w:p>
        </w:tc>
      </w:tr>
      <w:tr w:rsidR="00FA4986" w:rsidRPr="00F85393" w14:paraId="4AC65008" w14:textId="77777777" w:rsidTr="005447EC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0A4A2" w14:textId="77777777" w:rsidR="00FA4986" w:rsidRPr="005447EC" w:rsidRDefault="00FA4986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47EC"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815D" w14:textId="77777777" w:rsidR="00FA4986" w:rsidRPr="007D54B3" w:rsidRDefault="00D30BFF" w:rsidP="00684E18">
            <w:pPr>
              <w:pStyle w:val="ColorfulList-Accent1"/>
              <w:numPr>
                <w:ilvl w:val="0"/>
                <w:numId w:val="7"/>
              </w:numPr>
              <w:spacing w:after="0" w:line="240" w:lineRule="auto"/>
              <w:ind w:left="217" w:hanging="180"/>
              <w:rPr>
                <w:rFonts w:eastAsia="Times New Roman"/>
                <w:sz w:val="16"/>
                <w:szCs w:val="18"/>
              </w:rPr>
            </w:pPr>
            <w:r w:rsidRPr="007D54B3">
              <w:rPr>
                <w:rFonts w:eastAsia="Times New Roman"/>
                <w:sz w:val="16"/>
                <w:szCs w:val="18"/>
              </w:rPr>
              <w:t xml:space="preserve">Graphs, </w:t>
            </w:r>
            <w:r w:rsidR="00FA4986" w:rsidRPr="007D54B3">
              <w:rPr>
                <w:rFonts w:eastAsia="Times New Roman"/>
                <w:sz w:val="16"/>
                <w:szCs w:val="18"/>
              </w:rPr>
              <w:t xml:space="preserve">figures </w:t>
            </w:r>
            <w:r w:rsidRPr="007D54B3">
              <w:rPr>
                <w:rFonts w:eastAsia="Times New Roman"/>
                <w:sz w:val="16"/>
                <w:szCs w:val="18"/>
              </w:rPr>
              <w:t xml:space="preserve">and tables </w:t>
            </w:r>
            <w:r w:rsidR="00FA4986" w:rsidRPr="007D54B3">
              <w:rPr>
                <w:rFonts w:eastAsia="Times New Roman"/>
                <w:sz w:val="16"/>
                <w:szCs w:val="18"/>
              </w:rPr>
              <w:t xml:space="preserve">presented in the thesis </w:t>
            </w:r>
            <w:r w:rsidRPr="007D54B3">
              <w:rPr>
                <w:rFonts w:eastAsia="Times New Roman"/>
                <w:sz w:val="16"/>
                <w:szCs w:val="18"/>
              </w:rPr>
              <w:t xml:space="preserve">provide key insights into the </w:t>
            </w:r>
            <w:r w:rsidR="00FA4986" w:rsidRPr="007D54B3">
              <w:rPr>
                <w:rFonts w:eastAsia="Times New Roman"/>
                <w:sz w:val="16"/>
                <w:szCs w:val="18"/>
              </w:rPr>
              <w:t xml:space="preserve">investigation; they </w:t>
            </w:r>
            <w:r w:rsidRPr="007D54B3">
              <w:rPr>
                <w:rFonts w:eastAsia="Times New Roman"/>
                <w:sz w:val="16"/>
                <w:szCs w:val="18"/>
              </w:rPr>
              <w:t>re</w:t>
            </w:r>
            <w:r w:rsidR="00FA4986" w:rsidRPr="007D54B3">
              <w:rPr>
                <w:rFonts w:eastAsia="Times New Roman"/>
                <w:sz w:val="16"/>
                <w:szCs w:val="18"/>
              </w:rPr>
              <w:t xml:space="preserve">present a sophisticated visual description of the data and the results of the empirical analysis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490" w14:textId="77777777" w:rsidR="00FA4986" w:rsidRPr="007D54B3" w:rsidRDefault="00FA4986" w:rsidP="00684E18">
            <w:pPr>
              <w:pStyle w:val="ColorfulList-Accent1"/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eastAsia="Times New Roman"/>
                <w:sz w:val="16"/>
                <w:szCs w:val="18"/>
              </w:rPr>
            </w:pPr>
            <w:r w:rsidRPr="007D54B3">
              <w:rPr>
                <w:rFonts w:eastAsia="Times New Roman"/>
                <w:sz w:val="16"/>
                <w:szCs w:val="18"/>
              </w:rPr>
              <w:t xml:space="preserve">Graphs and figures presented in the thesis adequately accompany the investigation of the hypothesis being examined; they present an adequate visual description of the data and the results of the empirical analysis.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C1D2" w14:textId="77777777" w:rsidR="00FA4986" w:rsidRPr="007D54B3" w:rsidRDefault="00FA4986" w:rsidP="00684E18">
            <w:pPr>
              <w:pStyle w:val="ColorfulList-Accent1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eastAsia="Times New Roman"/>
                <w:sz w:val="16"/>
                <w:szCs w:val="18"/>
              </w:rPr>
            </w:pPr>
            <w:r w:rsidRPr="007D54B3">
              <w:rPr>
                <w:rFonts w:eastAsia="Times New Roman"/>
                <w:sz w:val="16"/>
                <w:szCs w:val="18"/>
              </w:rPr>
              <w:t xml:space="preserve">Graphs and figures presented in the thesis do not further the investigation; they are an inaccurate visual description of the data, and the results. </w:t>
            </w:r>
          </w:p>
        </w:tc>
      </w:tr>
      <w:tr w:rsidR="00FA4986" w:rsidRPr="00F85393" w14:paraId="5C549C62" w14:textId="77777777" w:rsidTr="005447EC">
        <w:trPr>
          <w:trHeight w:val="9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92C55" w14:textId="77777777" w:rsidR="00FA4986" w:rsidRPr="005447EC" w:rsidRDefault="00FA4986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228" w14:textId="77777777" w:rsidR="00FA4986" w:rsidRPr="007D54B3" w:rsidRDefault="00FA4986" w:rsidP="00684E18">
            <w:pPr>
              <w:pStyle w:val="ColorfulList-Accent1"/>
              <w:numPr>
                <w:ilvl w:val="0"/>
                <w:numId w:val="11"/>
              </w:numPr>
              <w:spacing w:after="0" w:line="240" w:lineRule="auto"/>
              <w:ind w:left="217" w:hanging="180"/>
              <w:rPr>
                <w:rFonts w:eastAsia="Times New Roman"/>
                <w:sz w:val="16"/>
                <w:szCs w:val="18"/>
              </w:rPr>
            </w:pPr>
            <w:r w:rsidRPr="007D54B3">
              <w:rPr>
                <w:rFonts w:eastAsia="Times New Roman"/>
                <w:sz w:val="16"/>
                <w:szCs w:val="18"/>
              </w:rPr>
              <w:t xml:space="preserve">Thesis presents sophisticated use of statistical methods and statistical software in the empirical analysis.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2B19" w14:textId="77777777" w:rsidR="00FA4986" w:rsidRPr="007D54B3" w:rsidRDefault="00FA4986" w:rsidP="00684E18">
            <w:pPr>
              <w:pStyle w:val="ColorfulList-Accent1"/>
              <w:numPr>
                <w:ilvl w:val="0"/>
                <w:numId w:val="12"/>
              </w:numPr>
              <w:spacing w:after="0" w:line="240" w:lineRule="auto"/>
              <w:ind w:left="217" w:hanging="180"/>
              <w:rPr>
                <w:rFonts w:eastAsia="Times New Roman"/>
                <w:sz w:val="16"/>
                <w:szCs w:val="18"/>
              </w:rPr>
            </w:pPr>
            <w:r w:rsidRPr="007D54B3">
              <w:rPr>
                <w:rFonts w:eastAsia="Times New Roman"/>
                <w:sz w:val="16"/>
                <w:szCs w:val="18"/>
              </w:rPr>
              <w:t>Thesis presents adequate use of statistical methods and statistical software</w:t>
            </w:r>
            <w:r w:rsidR="00D30BFF" w:rsidRPr="007D54B3">
              <w:rPr>
                <w:rFonts w:eastAsia="Times New Roman"/>
                <w:sz w:val="16"/>
                <w:szCs w:val="18"/>
              </w:rPr>
              <w:t xml:space="preserve"> in the empirical analysis.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2D81" w14:textId="77777777" w:rsidR="00FA4986" w:rsidRPr="007D54B3" w:rsidRDefault="00FA4986" w:rsidP="00684E18">
            <w:pPr>
              <w:pStyle w:val="ColorfulList-Accent1"/>
              <w:numPr>
                <w:ilvl w:val="0"/>
                <w:numId w:val="13"/>
              </w:numPr>
              <w:spacing w:after="0" w:line="240" w:lineRule="auto"/>
              <w:ind w:left="217" w:hanging="180"/>
              <w:rPr>
                <w:rFonts w:eastAsia="Times New Roman"/>
                <w:sz w:val="16"/>
                <w:szCs w:val="18"/>
              </w:rPr>
            </w:pPr>
            <w:r w:rsidRPr="007D54B3">
              <w:rPr>
                <w:rFonts w:eastAsia="Times New Roman"/>
                <w:sz w:val="16"/>
                <w:szCs w:val="18"/>
              </w:rPr>
              <w:t xml:space="preserve">Thesis presents insufficient and inaccurate use of statistical methods and statistical software in the empirical analysis. </w:t>
            </w:r>
          </w:p>
        </w:tc>
      </w:tr>
    </w:tbl>
    <w:p w14:paraId="3500325F" w14:textId="77777777" w:rsidR="00E11A4F" w:rsidRDefault="00E11A4F"/>
    <w:tbl>
      <w:tblPr>
        <w:tblW w:w="13155" w:type="dxa"/>
        <w:jc w:val="center"/>
        <w:tblLook w:val="04A0" w:firstRow="1" w:lastRow="0" w:firstColumn="1" w:lastColumn="0" w:noHBand="0" w:noVBand="1"/>
      </w:tblPr>
      <w:tblGrid>
        <w:gridCol w:w="1760"/>
        <w:gridCol w:w="3655"/>
        <w:gridCol w:w="3600"/>
        <w:gridCol w:w="4140"/>
      </w:tblGrid>
      <w:tr w:rsidR="007D54B3" w:rsidRPr="00F85393" w14:paraId="0139B375" w14:textId="77777777" w:rsidTr="002601FE">
        <w:trPr>
          <w:trHeight w:val="494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2706" w14:textId="77777777" w:rsidR="007D54B3" w:rsidRPr="0013285D" w:rsidRDefault="007D54B3" w:rsidP="0087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28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PROFICIENCES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FA15" w14:textId="77777777" w:rsidR="007D54B3" w:rsidRPr="00BB2F28" w:rsidRDefault="007D54B3" w:rsidP="0087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Accomplished - 3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B67E" w14:textId="77777777" w:rsidR="007D54B3" w:rsidRPr="00BB2F28" w:rsidRDefault="007D54B3" w:rsidP="0087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Competent - 2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DE8D2" w14:textId="77777777" w:rsidR="007D54B3" w:rsidRPr="00BB2F28" w:rsidRDefault="007D54B3" w:rsidP="0087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Developing - 1</w:t>
            </w:r>
          </w:p>
        </w:tc>
      </w:tr>
      <w:tr w:rsidR="008A3F99" w:rsidRPr="00F85393" w14:paraId="327C20E3" w14:textId="77777777" w:rsidTr="005447EC">
        <w:trPr>
          <w:trHeight w:val="890"/>
          <w:jc w:val="center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A649F3" w14:textId="77777777" w:rsidR="008A3F99" w:rsidRPr="005447EC" w:rsidRDefault="008A3F99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47EC">
              <w:rPr>
                <w:rFonts w:eastAsia="Times New Roman"/>
                <w:b/>
                <w:color w:val="000000"/>
                <w:sz w:val="18"/>
                <w:szCs w:val="18"/>
              </w:rPr>
              <w:t>Economic Literacy</w:t>
            </w:r>
          </w:p>
          <w:p w14:paraId="0F6FBCD5" w14:textId="77777777" w:rsidR="008A3F99" w:rsidRPr="005447EC" w:rsidRDefault="008A3F99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47EC"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F648" w14:textId="77777777" w:rsidR="008A3F99" w:rsidRPr="007D54B3" w:rsidRDefault="008A3F99" w:rsidP="00684E18">
            <w:pPr>
              <w:pStyle w:val="ColorfulList-Accent1"/>
              <w:numPr>
                <w:ilvl w:val="0"/>
                <w:numId w:val="14"/>
              </w:numPr>
              <w:spacing w:after="0" w:line="240" w:lineRule="auto"/>
              <w:ind w:left="217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>Demonstrates a complete, accurate, engaging, and insightful understanding of core and advanced economic concepts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0181" w14:textId="77777777" w:rsidR="008A3F99" w:rsidRPr="007D54B3" w:rsidRDefault="008A3F99" w:rsidP="00684E18">
            <w:pPr>
              <w:pStyle w:val="ColorfulList-Accent1"/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>Demonstrates accurate understanding and use of core economic concepts, but uneven understanding and use of advanced concepts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B630" w14:textId="77777777" w:rsidR="008A3F99" w:rsidRPr="007D54B3" w:rsidRDefault="008A3F99" w:rsidP="00684E18">
            <w:pPr>
              <w:pStyle w:val="ColorfulList-Accent1"/>
              <w:numPr>
                <w:ilvl w:val="0"/>
                <w:numId w:val="16"/>
              </w:numPr>
              <w:spacing w:after="0" w:line="240" w:lineRule="auto"/>
              <w:ind w:left="342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>Shows inaccurate and incomplete understanding OR accurate but superficial understanding OR does not move beyond a simple summary and description of core economic concepts.</w:t>
            </w:r>
          </w:p>
        </w:tc>
      </w:tr>
      <w:tr w:rsidR="008A3F99" w:rsidRPr="00F85393" w14:paraId="284BAEE2" w14:textId="77777777" w:rsidTr="005447EC">
        <w:trPr>
          <w:trHeight w:val="1200"/>
          <w:jc w:val="center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0668F3" w14:textId="77777777" w:rsidR="008A3F99" w:rsidRPr="005447EC" w:rsidRDefault="008A3F99" w:rsidP="00BB2F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0CDE" w14:textId="77777777" w:rsidR="008A3F99" w:rsidRPr="007D54B3" w:rsidRDefault="008A3F99" w:rsidP="00684E18">
            <w:pPr>
              <w:pStyle w:val="ColorfulList-Accent1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>Cohesive, and comprehensive literature review that effectively articulates and communicates the relevant thesis and ideas of the literature reviewed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B47" w14:textId="77777777" w:rsidR="008A3F99" w:rsidRPr="007D54B3" w:rsidRDefault="008A3F99" w:rsidP="00684E18">
            <w:pPr>
              <w:pStyle w:val="ColorfulList-Accent1"/>
              <w:numPr>
                <w:ilvl w:val="0"/>
                <w:numId w:val="18"/>
              </w:numPr>
              <w:spacing w:after="0" w:line="240" w:lineRule="auto"/>
              <w:ind w:left="252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 xml:space="preserve">Cohesive and comprehensive literature </w:t>
            </w:r>
            <w:proofErr w:type="gramStart"/>
            <w:r w:rsidRPr="007D54B3">
              <w:rPr>
                <w:rFonts w:eastAsia="Times New Roman"/>
                <w:color w:val="000000"/>
                <w:sz w:val="16"/>
                <w:szCs w:val="18"/>
              </w:rPr>
              <w:t>review, but</w:t>
            </w:r>
            <w:proofErr w:type="gramEnd"/>
            <w:r w:rsidRPr="007D54B3">
              <w:rPr>
                <w:rFonts w:eastAsia="Times New Roman"/>
                <w:color w:val="000000"/>
                <w:sz w:val="16"/>
                <w:szCs w:val="18"/>
              </w:rPr>
              <w:t xml:space="preserve"> lacks effective communication and articulation of relevant dimensions.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5955" w14:textId="77777777" w:rsidR="008A3F99" w:rsidRPr="007D54B3" w:rsidRDefault="008A3F99" w:rsidP="00684E18">
            <w:pPr>
              <w:pStyle w:val="ColorfulList-Accent1"/>
              <w:numPr>
                <w:ilvl w:val="0"/>
                <w:numId w:val="19"/>
              </w:numPr>
              <w:spacing w:after="0" w:line="240" w:lineRule="auto"/>
              <w:ind w:left="342" w:hanging="180"/>
              <w:rPr>
                <w:rFonts w:eastAsia="Times New Roman"/>
                <w:color w:val="000000"/>
                <w:sz w:val="16"/>
                <w:szCs w:val="18"/>
              </w:rPr>
            </w:pPr>
            <w:r w:rsidRPr="007D54B3">
              <w:rPr>
                <w:rFonts w:eastAsia="Times New Roman"/>
                <w:color w:val="000000"/>
                <w:sz w:val="16"/>
                <w:szCs w:val="18"/>
              </w:rPr>
              <w:t>Disorganized and incomplete literature review</w:t>
            </w:r>
          </w:p>
          <w:p w14:paraId="31230A37" w14:textId="77777777" w:rsidR="008A3F99" w:rsidRPr="007D54B3" w:rsidRDefault="008A3F99" w:rsidP="0087340A">
            <w:pPr>
              <w:spacing w:after="0" w:line="240" w:lineRule="auto"/>
              <w:ind w:left="342" w:hanging="180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7D54B3" w:rsidRPr="00F85393" w14:paraId="0A9D75F9" w14:textId="77777777" w:rsidTr="005447EC">
        <w:trPr>
          <w:trHeight w:val="665"/>
          <w:jc w:val="center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0D1D7" w14:textId="77777777" w:rsidR="007D54B3" w:rsidRPr="005447EC" w:rsidRDefault="007D54B3" w:rsidP="008A3F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47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Communication 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8B8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380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 and Oral)</w:t>
            </w:r>
            <w:r w:rsidRPr="00F85393">
              <w:rPr>
                <w:rFonts w:cs="Arial"/>
                <w:sz w:val="16"/>
                <w:szCs w:val="16"/>
              </w:rPr>
              <w:t xml:space="preserve"> Focused and logical development of thesis/ideas throughout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F2C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03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 and Oral)</w:t>
            </w:r>
            <w:r w:rsidRPr="00F85393">
              <w:rPr>
                <w:rFonts w:cs="Arial"/>
                <w:sz w:val="16"/>
                <w:szCs w:val="16"/>
              </w:rPr>
              <w:t xml:space="preserve"> Maintains focus with minor logical lapses or  unevenness in development of thesis/ideas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8D25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 and Oral)</w:t>
            </w:r>
            <w:r w:rsidRPr="00F85393">
              <w:rPr>
                <w:rFonts w:cs="Arial"/>
                <w:sz w:val="16"/>
                <w:szCs w:val="16"/>
              </w:rPr>
              <w:t xml:space="preserve"> Focus shifts or is lacking altogether; weak or illogical development of idea/argument</w:t>
            </w:r>
          </w:p>
        </w:tc>
      </w:tr>
      <w:tr w:rsidR="007D54B3" w:rsidRPr="00F85393" w14:paraId="278BC1FF" w14:textId="77777777" w:rsidTr="005447EC">
        <w:trPr>
          <w:trHeight w:val="630"/>
          <w:jc w:val="center"/>
        </w:trPr>
        <w:tc>
          <w:tcPr>
            <w:tcW w:w="1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14:paraId="55C38768" w14:textId="77777777" w:rsidR="007D54B3" w:rsidRPr="00F85393" w:rsidRDefault="007D54B3" w:rsidP="0087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E723A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380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(Written)</w:t>
            </w:r>
            <w:r w:rsidRPr="00F85393">
              <w:rPr>
                <w:rFonts w:cs="Arial"/>
                <w:sz w:val="16"/>
                <w:szCs w:val="16"/>
              </w:rPr>
              <w:t xml:space="preserve"> Consistently and accurately uses citations in all common styles (e.g., MLA , APA, Chicago, Turabian)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105EC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03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(Written)</w:t>
            </w:r>
            <w:r w:rsidRPr="00F85393">
              <w:rPr>
                <w:rFonts w:cs="Arial"/>
                <w:sz w:val="16"/>
                <w:szCs w:val="16"/>
              </w:rPr>
              <w:t xml:space="preserve"> Some errors in use of citations or limited knowledge of various citation styles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CE2F5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(Written)</w:t>
            </w:r>
            <w:r w:rsidRPr="00F85393">
              <w:rPr>
                <w:rFonts w:cs="Arial"/>
                <w:sz w:val="16"/>
                <w:szCs w:val="16"/>
              </w:rPr>
              <w:t xml:space="preserve"> Many errors in citation format or inappropriate choice of citation format</w:t>
            </w:r>
          </w:p>
        </w:tc>
      </w:tr>
      <w:tr w:rsidR="007D54B3" w:rsidRPr="00F85393" w14:paraId="655E8110" w14:textId="77777777" w:rsidTr="005447EC">
        <w:trPr>
          <w:trHeight w:val="900"/>
          <w:jc w:val="center"/>
        </w:trPr>
        <w:tc>
          <w:tcPr>
            <w:tcW w:w="1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14:paraId="379E2A2E" w14:textId="77777777" w:rsidR="007D54B3" w:rsidRPr="00F85393" w:rsidRDefault="007D54B3" w:rsidP="0087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4F8AF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380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(Written)</w:t>
            </w:r>
            <w:r w:rsidRPr="00F85393">
              <w:rPr>
                <w:rFonts w:cs="Arial"/>
                <w:sz w:val="16"/>
                <w:szCs w:val="16"/>
              </w:rPr>
              <w:t xml:space="preserve"> Writing is well-organized and structured with fully developed introduction and conclusion, cohesive paragraphs, effective organization, and smooth transitions throughout.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5207A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03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(Written)</w:t>
            </w:r>
            <w:r w:rsidRPr="00F85393">
              <w:rPr>
                <w:rFonts w:cs="Arial"/>
                <w:sz w:val="16"/>
                <w:szCs w:val="16"/>
              </w:rPr>
              <w:t xml:space="preserve"> Writing has identifiable and effective introduction and conclusion, unified paragraphs with some gaps in cohesion, some weak or rough transitions, or mild weaknesses in organization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A610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(Written)</w:t>
            </w:r>
            <w:r w:rsidRPr="00F85393">
              <w:rPr>
                <w:rFonts w:cs="Arial"/>
                <w:sz w:val="16"/>
                <w:szCs w:val="16"/>
              </w:rPr>
              <w:t xml:space="preserve"> Introduction and conclusion ineffective or absent, poor transitions hindering readability, and poor organization</w:t>
            </w:r>
          </w:p>
        </w:tc>
      </w:tr>
      <w:tr w:rsidR="007D54B3" w:rsidRPr="00F85393" w14:paraId="3F983E38" w14:textId="77777777" w:rsidTr="005447EC">
        <w:trPr>
          <w:trHeight w:val="468"/>
          <w:jc w:val="center"/>
        </w:trPr>
        <w:tc>
          <w:tcPr>
            <w:tcW w:w="1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14:paraId="758A2710" w14:textId="77777777" w:rsidR="007D54B3" w:rsidRPr="00F85393" w:rsidRDefault="007D54B3" w:rsidP="0087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9925D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380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(Written)</w:t>
            </w:r>
            <w:r w:rsidRPr="00F85393">
              <w:rPr>
                <w:rFonts w:cs="Arial"/>
                <w:sz w:val="16"/>
                <w:szCs w:val="16"/>
              </w:rPr>
              <w:t xml:space="preserve"> Highly proficient and complex use of English language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0D5E0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03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(Written)</w:t>
            </w:r>
            <w:r w:rsidRPr="00F85393">
              <w:rPr>
                <w:rFonts w:cs="Arial"/>
                <w:sz w:val="16"/>
                <w:szCs w:val="16"/>
              </w:rPr>
              <w:t xml:space="preserve"> Mostly correct use of English but lacking in complexity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AEEB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(Written)</w:t>
            </w:r>
            <w:r w:rsidRPr="00F85393">
              <w:rPr>
                <w:rFonts w:cs="Arial"/>
                <w:sz w:val="16"/>
                <w:szCs w:val="16"/>
              </w:rPr>
              <w:t xml:space="preserve"> Frequent errors in language use that impede readability</w:t>
            </w:r>
          </w:p>
        </w:tc>
      </w:tr>
      <w:tr w:rsidR="007D54B3" w:rsidRPr="00F85393" w14:paraId="3E662D39" w14:textId="77777777" w:rsidTr="005447EC">
        <w:trPr>
          <w:trHeight w:val="900"/>
          <w:jc w:val="center"/>
        </w:trPr>
        <w:tc>
          <w:tcPr>
            <w:tcW w:w="1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14:paraId="4E97C3CF" w14:textId="77777777" w:rsidR="007D54B3" w:rsidRPr="00F85393" w:rsidRDefault="007D54B3" w:rsidP="0087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FB165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380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 and Oral)</w:t>
            </w:r>
            <w:r w:rsidRPr="00F85393">
              <w:rPr>
                <w:rFonts w:cs="Arial"/>
                <w:sz w:val="16"/>
                <w:szCs w:val="16"/>
              </w:rPr>
              <w:t xml:space="preserve"> Communication is finely tuned for its intended audience and purpose with an appropriate level of technical detail and intuitive interpretation in discussing analysis and presenting conclusions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53753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03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 and Oral)</w:t>
            </w:r>
            <w:r w:rsidRPr="00F85393">
              <w:rPr>
                <w:rFonts w:cs="Arial"/>
                <w:sz w:val="16"/>
                <w:szCs w:val="16"/>
              </w:rPr>
              <w:t xml:space="preserve"> Some aspect of communication may be inappropriate for the intended audience or purpose (lacking important technical aspects for expert audiences or too technical for lay audiences); provides a basic intuition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781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(Written and Oral)</w:t>
            </w:r>
            <w:r w:rsidRPr="00F85393">
              <w:rPr>
                <w:rFonts w:cs="Arial"/>
                <w:sz w:val="16"/>
                <w:szCs w:val="16"/>
              </w:rPr>
              <w:t xml:space="preserve"> Communication significantly inappropriate for its intended audience or purpose and fails to provide an intuitive interpretation</w:t>
            </w:r>
          </w:p>
        </w:tc>
      </w:tr>
      <w:tr w:rsidR="007D54B3" w:rsidRPr="00F85393" w14:paraId="7FAF093F" w14:textId="77777777" w:rsidTr="005447EC">
        <w:trPr>
          <w:trHeight w:val="540"/>
          <w:jc w:val="center"/>
        </w:trPr>
        <w:tc>
          <w:tcPr>
            <w:tcW w:w="1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14:paraId="70E1C9FB" w14:textId="77777777" w:rsidR="007D54B3" w:rsidRPr="00F85393" w:rsidRDefault="007D54B3" w:rsidP="0087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0EA011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380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 xml:space="preserve">(Oral) </w:t>
            </w:r>
            <w:r w:rsidRPr="00F85393">
              <w:rPr>
                <w:rFonts w:cs="Arial"/>
                <w:sz w:val="16"/>
                <w:szCs w:val="16"/>
              </w:rPr>
              <w:t xml:space="preserve">Varied, engaging, and clear speech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F65A5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03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 xml:space="preserve">(Oral) </w:t>
            </w:r>
            <w:r w:rsidRPr="00F85393">
              <w:rPr>
                <w:rFonts w:cs="Arial"/>
                <w:sz w:val="16"/>
                <w:szCs w:val="16"/>
              </w:rPr>
              <w:t>Understandable speech with limited tonal variation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B50FE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 xml:space="preserve">(Oral) </w:t>
            </w:r>
            <w:r w:rsidRPr="00F85393">
              <w:rPr>
                <w:rFonts w:cs="Arial"/>
                <w:sz w:val="16"/>
                <w:szCs w:val="16"/>
              </w:rPr>
              <w:t>Speech is difficult to hear or understand, broken by fillers and/or very monotonal</w:t>
            </w:r>
          </w:p>
        </w:tc>
      </w:tr>
      <w:tr w:rsidR="007D54B3" w:rsidRPr="00F85393" w14:paraId="7DB6E2B6" w14:textId="77777777" w:rsidTr="005447EC">
        <w:trPr>
          <w:trHeight w:val="621"/>
          <w:jc w:val="center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14:paraId="7902A214" w14:textId="77777777" w:rsidR="007D54B3" w:rsidRPr="00F85393" w:rsidRDefault="007D54B3" w:rsidP="0087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E48E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380" w:hanging="270"/>
              <w:rPr>
                <w:rFonts w:cs="Arial"/>
                <w:i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>(Oral)</w:t>
            </w:r>
            <w:r w:rsidRPr="00F85393">
              <w:rPr>
                <w:rFonts w:cs="Arial"/>
                <w:sz w:val="16"/>
                <w:szCs w:val="16"/>
              </w:rPr>
              <w:t xml:space="preserve">  Physical manner is audience-focused and complements the presentation without being a distraction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0F34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03" w:hanging="270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 xml:space="preserve">(Oral) </w:t>
            </w:r>
            <w:r w:rsidRPr="00F85393">
              <w:rPr>
                <w:rFonts w:cs="Arial"/>
                <w:sz w:val="16"/>
                <w:szCs w:val="16"/>
              </w:rPr>
              <w:t>Physical manner acknowledges the audience and is not overly distracting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DC" w14:textId="77777777" w:rsidR="007D54B3" w:rsidRPr="00F85393" w:rsidRDefault="007D54B3" w:rsidP="00684E18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cs="Arial"/>
                <w:sz w:val="16"/>
                <w:szCs w:val="16"/>
              </w:rPr>
            </w:pPr>
            <w:r w:rsidRPr="00F85393">
              <w:rPr>
                <w:rFonts w:cs="Arial"/>
                <w:i/>
                <w:sz w:val="16"/>
                <w:szCs w:val="16"/>
              </w:rPr>
              <w:t xml:space="preserve">(Oral) </w:t>
            </w:r>
            <w:r w:rsidRPr="00F85393">
              <w:rPr>
                <w:rFonts w:cs="Arial"/>
                <w:sz w:val="16"/>
                <w:szCs w:val="16"/>
              </w:rPr>
              <w:t>Physical manner ignores the audience and/or is a distraction from the speaker’s message</w:t>
            </w:r>
          </w:p>
        </w:tc>
      </w:tr>
    </w:tbl>
    <w:p w14:paraId="6C245E5E" w14:textId="77777777" w:rsidR="00643D57" w:rsidRPr="0013285D" w:rsidRDefault="00643D57" w:rsidP="00691363">
      <w:pPr>
        <w:autoSpaceDE w:val="0"/>
        <w:autoSpaceDN w:val="0"/>
        <w:spacing w:after="0" w:line="240" w:lineRule="auto"/>
        <w:rPr>
          <w:sz w:val="18"/>
          <w:szCs w:val="18"/>
        </w:rPr>
      </w:pPr>
    </w:p>
    <w:p w14:paraId="4A453EE6" w14:textId="77777777" w:rsidR="00691363" w:rsidRDefault="00BF4CA8" w:rsidP="008A3F99">
      <w:pPr>
        <w:autoSpaceDE w:val="0"/>
        <w:autoSpaceDN w:val="0"/>
        <w:spacing w:after="0" w:line="240" w:lineRule="auto"/>
      </w:pPr>
      <w:r>
        <w:rPr>
          <w:b/>
        </w:rPr>
        <w:t xml:space="preserve"> </w:t>
      </w:r>
    </w:p>
    <w:sectPr w:rsidR="00691363" w:rsidSect="002601FE">
      <w:headerReference w:type="default" r:id="rId12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A682" w14:textId="77777777" w:rsidR="005447EC" w:rsidRDefault="005447EC" w:rsidP="00EE620C">
      <w:pPr>
        <w:spacing w:after="0" w:line="240" w:lineRule="auto"/>
      </w:pPr>
      <w:r>
        <w:separator/>
      </w:r>
    </w:p>
  </w:endnote>
  <w:endnote w:type="continuationSeparator" w:id="0">
    <w:p w14:paraId="59679E54" w14:textId="77777777" w:rsidR="005447EC" w:rsidRDefault="005447EC" w:rsidP="00EE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D60B" w14:textId="77777777" w:rsidR="005447EC" w:rsidRDefault="005447EC" w:rsidP="00EE620C">
      <w:pPr>
        <w:spacing w:after="0" w:line="240" w:lineRule="auto"/>
      </w:pPr>
      <w:r>
        <w:separator/>
      </w:r>
    </w:p>
  </w:footnote>
  <w:footnote w:type="continuationSeparator" w:id="0">
    <w:p w14:paraId="3544CA25" w14:textId="77777777" w:rsidR="005447EC" w:rsidRDefault="005447EC" w:rsidP="00EE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06"/>
      <w:gridCol w:w="1794"/>
    </w:tblGrid>
    <w:tr w:rsidR="00D03C4F" w:rsidRPr="00F85393" w14:paraId="5A692005" w14:textId="77777777" w:rsidTr="00F85393">
      <w:trPr>
        <w:trHeight w:val="288"/>
      </w:trPr>
      <w:tc>
        <w:tcPr>
          <w:tcW w:w="7765" w:type="dxa"/>
        </w:tcPr>
        <w:p w14:paraId="4EAE4A95" w14:textId="77777777" w:rsidR="00D03C4F" w:rsidRPr="00F85393" w:rsidRDefault="00BF4CA8" w:rsidP="0087340A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Economics MS Research Paper Rubric</w:t>
          </w:r>
        </w:p>
      </w:tc>
      <w:tc>
        <w:tcPr>
          <w:tcW w:w="1105" w:type="dxa"/>
        </w:tcPr>
        <w:p w14:paraId="0F701883" w14:textId="77777777" w:rsidR="00D03C4F" w:rsidRPr="00F85393" w:rsidRDefault="00D03C4F" w:rsidP="002C22B8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</w:p>
      </w:tc>
    </w:tr>
  </w:tbl>
  <w:p w14:paraId="0DFE5622" w14:textId="77777777" w:rsidR="00D03C4F" w:rsidRDefault="00D03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280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40423"/>
    <w:multiLevelType w:val="hybridMultilevel"/>
    <w:tmpl w:val="BE80BBD4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FB"/>
    <w:multiLevelType w:val="hybridMultilevel"/>
    <w:tmpl w:val="ED489774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7D8"/>
    <w:multiLevelType w:val="hybridMultilevel"/>
    <w:tmpl w:val="7380739C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54DD"/>
    <w:multiLevelType w:val="hybridMultilevel"/>
    <w:tmpl w:val="D3088686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1D6"/>
    <w:multiLevelType w:val="hybridMultilevel"/>
    <w:tmpl w:val="D402F64C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E3E8E"/>
    <w:multiLevelType w:val="hybridMultilevel"/>
    <w:tmpl w:val="1CB010D4"/>
    <w:lvl w:ilvl="0" w:tplc="EEB2D864">
      <w:start w:val="1"/>
      <w:numFmt w:val="bullet"/>
      <w:lvlText w:val="□"/>
      <w:lvlJc w:val="left"/>
      <w:pPr>
        <w:ind w:left="5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34DA4F51"/>
    <w:multiLevelType w:val="hybridMultilevel"/>
    <w:tmpl w:val="477A5EFA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0BE0"/>
    <w:multiLevelType w:val="hybridMultilevel"/>
    <w:tmpl w:val="60BA359E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83E72"/>
    <w:multiLevelType w:val="hybridMultilevel"/>
    <w:tmpl w:val="C610E7DE"/>
    <w:lvl w:ilvl="0" w:tplc="EEB2D86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F5199F"/>
    <w:multiLevelType w:val="hybridMultilevel"/>
    <w:tmpl w:val="5CF81A9A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07FD"/>
    <w:multiLevelType w:val="hybridMultilevel"/>
    <w:tmpl w:val="5D46B392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41CE5"/>
    <w:multiLevelType w:val="hybridMultilevel"/>
    <w:tmpl w:val="57780096"/>
    <w:lvl w:ilvl="0" w:tplc="EEB2D864">
      <w:start w:val="1"/>
      <w:numFmt w:val="bullet"/>
      <w:lvlText w:val="□"/>
      <w:lvlJc w:val="left"/>
      <w:pPr>
        <w:ind w:left="7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587F3AAB"/>
    <w:multiLevelType w:val="hybridMultilevel"/>
    <w:tmpl w:val="C240AA9A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204CD"/>
    <w:multiLevelType w:val="hybridMultilevel"/>
    <w:tmpl w:val="A148BE96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D07F9"/>
    <w:multiLevelType w:val="hybridMultilevel"/>
    <w:tmpl w:val="22546184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F0A"/>
    <w:multiLevelType w:val="hybridMultilevel"/>
    <w:tmpl w:val="212C1C40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953A6"/>
    <w:multiLevelType w:val="hybridMultilevel"/>
    <w:tmpl w:val="C7A0D88A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C34DE"/>
    <w:multiLevelType w:val="hybridMultilevel"/>
    <w:tmpl w:val="BA0C0D4A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A0571"/>
    <w:multiLevelType w:val="hybridMultilevel"/>
    <w:tmpl w:val="3D124E9C"/>
    <w:lvl w:ilvl="0" w:tplc="EEB2D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9584A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6"/>
  </w:num>
  <w:num w:numId="5">
    <w:abstractNumId w:val="15"/>
  </w:num>
  <w:num w:numId="6">
    <w:abstractNumId w:val="17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10"/>
  </w:num>
  <w:num w:numId="13">
    <w:abstractNumId w:val="16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E9"/>
    <w:rsid w:val="00016522"/>
    <w:rsid w:val="00047944"/>
    <w:rsid w:val="00055F3B"/>
    <w:rsid w:val="000570B4"/>
    <w:rsid w:val="0006365D"/>
    <w:rsid w:val="00066457"/>
    <w:rsid w:val="000942A1"/>
    <w:rsid w:val="000B21CE"/>
    <w:rsid w:val="00114B68"/>
    <w:rsid w:val="0013285D"/>
    <w:rsid w:val="001432E2"/>
    <w:rsid w:val="00156438"/>
    <w:rsid w:val="00176D73"/>
    <w:rsid w:val="00187EC1"/>
    <w:rsid w:val="001B0933"/>
    <w:rsid w:val="001B2F7F"/>
    <w:rsid w:val="001D7C27"/>
    <w:rsid w:val="001F3053"/>
    <w:rsid w:val="002601FE"/>
    <w:rsid w:val="0028056C"/>
    <w:rsid w:val="002C22B8"/>
    <w:rsid w:val="002C7EF0"/>
    <w:rsid w:val="002E56D9"/>
    <w:rsid w:val="00317A7A"/>
    <w:rsid w:val="00323FE5"/>
    <w:rsid w:val="00341CD6"/>
    <w:rsid w:val="00373586"/>
    <w:rsid w:val="00383299"/>
    <w:rsid w:val="00386C42"/>
    <w:rsid w:val="003A05D6"/>
    <w:rsid w:val="003A3382"/>
    <w:rsid w:val="00472507"/>
    <w:rsid w:val="004B7E34"/>
    <w:rsid w:val="005447EC"/>
    <w:rsid w:val="005F41E9"/>
    <w:rsid w:val="00633B1B"/>
    <w:rsid w:val="00643D57"/>
    <w:rsid w:val="00684E18"/>
    <w:rsid w:val="00691363"/>
    <w:rsid w:val="006C2EF0"/>
    <w:rsid w:val="006C3890"/>
    <w:rsid w:val="006D1EDE"/>
    <w:rsid w:val="007155DC"/>
    <w:rsid w:val="00751B38"/>
    <w:rsid w:val="007737FE"/>
    <w:rsid w:val="007859C0"/>
    <w:rsid w:val="007A1935"/>
    <w:rsid w:val="007D54B3"/>
    <w:rsid w:val="007D5D88"/>
    <w:rsid w:val="008059A0"/>
    <w:rsid w:val="00871BD6"/>
    <w:rsid w:val="0087340A"/>
    <w:rsid w:val="008A3F99"/>
    <w:rsid w:val="008E1230"/>
    <w:rsid w:val="00911718"/>
    <w:rsid w:val="009B7B92"/>
    <w:rsid w:val="009C1B69"/>
    <w:rsid w:val="009F0743"/>
    <w:rsid w:val="00A02E54"/>
    <w:rsid w:val="00A4478D"/>
    <w:rsid w:val="00B40918"/>
    <w:rsid w:val="00BB2F28"/>
    <w:rsid w:val="00BF4CA8"/>
    <w:rsid w:val="00C24C4A"/>
    <w:rsid w:val="00CE48BF"/>
    <w:rsid w:val="00D02472"/>
    <w:rsid w:val="00D03C4F"/>
    <w:rsid w:val="00D114FF"/>
    <w:rsid w:val="00D160D9"/>
    <w:rsid w:val="00D30BFF"/>
    <w:rsid w:val="00D45A8D"/>
    <w:rsid w:val="00D53EE7"/>
    <w:rsid w:val="00D714D9"/>
    <w:rsid w:val="00D85259"/>
    <w:rsid w:val="00D95B3D"/>
    <w:rsid w:val="00DB5B69"/>
    <w:rsid w:val="00DB70AA"/>
    <w:rsid w:val="00DC27FB"/>
    <w:rsid w:val="00DC2DCB"/>
    <w:rsid w:val="00E11A4F"/>
    <w:rsid w:val="00E167F0"/>
    <w:rsid w:val="00E424CF"/>
    <w:rsid w:val="00E5596F"/>
    <w:rsid w:val="00E61DCD"/>
    <w:rsid w:val="00EA5857"/>
    <w:rsid w:val="00ED2405"/>
    <w:rsid w:val="00EE620C"/>
    <w:rsid w:val="00F35617"/>
    <w:rsid w:val="00F46C4D"/>
    <w:rsid w:val="00F62565"/>
    <w:rsid w:val="00F850FC"/>
    <w:rsid w:val="00F85393"/>
    <w:rsid w:val="00FA4986"/>
    <w:rsid w:val="00FE37DC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D68904"/>
  <w15:chartTrackingRefBased/>
  <w15:docId w15:val="{DC1FA530-DD54-41C6-8F98-06454F69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4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41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E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4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lorfulList-Accent1">
    <w:name w:val="Colorful List Accent 1"/>
    <w:basedOn w:val="Normal"/>
    <w:uiPriority w:val="99"/>
    <w:qFormat/>
    <w:rsid w:val="005F41E9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A02E54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EE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0C"/>
  </w:style>
  <w:style w:type="paragraph" w:styleId="Footer">
    <w:name w:val="footer"/>
    <w:basedOn w:val="Normal"/>
    <w:link w:val="FooterChar"/>
    <w:uiPriority w:val="99"/>
    <w:unhideWhenUsed/>
    <w:rsid w:val="00EE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0C"/>
  </w:style>
  <w:style w:type="paragraph" w:styleId="BalloonText">
    <w:name w:val="Balloon Text"/>
    <w:basedOn w:val="Normal"/>
    <w:link w:val="BalloonTextChar"/>
    <w:uiPriority w:val="99"/>
    <w:semiHidden/>
    <w:unhideWhenUsed/>
    <w:rsid w:val="00EE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2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424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Elegant">
    <w:name w:val="Table Elegant"/>
    <w:basedOn w:val="TableNormal"/>
    <w:rsid w:val="0028056C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F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24AF225-2B3F-4F0B-8FDB-0150053FAC3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28313A-799E-442C-80F1-994C56068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18968-a2d3-4693-9773-ea34334db945"/>
    <ds:schemaRef ds:uri="897e4fff-7901-42a5-a2b5-215bf2631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63BD-357A-4C83-B523-A1AB39113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DB034-5C61-4F10-8AFF-A0FAD9D0656D}">
  <ds:schemaRefs>
    <ds:schemaRef ds:uri="20818968-a2d3-4693-9773-ea34334db9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7e4fff-7901-42a5-a2b5-215bf26317d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84D474D-625F-4509-A26C-A8BA1341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Rubric for Masters Degree in Applied Economics</vt:lpstr>
    </vt:vector>
  </TitlesOfParts>
  <Company>UW-Whitewater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Rubric for Masters Degree in Applied Economics</dc:title>
  <dc:subject/>
  <dc:creator>Staff</dc:creator>
  <cp:keywords/>
  <cp:lastModifiedBy>Mamerow, Geoff</cp:lastModifiedBy>
  <cp:revision>2</cp:revision>
  <cp:lastPrinted>2013-03-20T02:04:00Z</cp:lastPrinted>
  <dcterms:created xsi:type="dcterms:W3CDTF">2020-02-19T21:20:00Z</dcterms:created>
  <dcterms:modified xsi:type="dcterms:W3CDTF">2020-02-19T21:20:00Z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0x010100877AE86B3080C04FBEA641DDF1A26023</vt:lpwstr>
  </property>
</Properties>
</file>