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DD39E" w14:textId="618F4C4A" w:rsidR="00A874BA" w:rsidRPr="00625A04" w:rsidRDefault="00A874BA" w:rsidP="00A874BA">
      <w:pPr>
        <w:pStyle w:val="Title"/>
        <w:rPr>
          <w:b/>
          <w:bCs/>
        </w:rPr>
      </w:pPr>
      <w:r w:rsidRPr="00625A04">
        <w:rPr>
          <w:b/>
          <w:bCs/>
        </w:rPr>
        <w:t>Effective Communication Assessment</w:t>
      </w:r>
    </w:p>
    <w:p w14:paraId="207CB936" w14:textId="56127B91" w:rsidR="00A874BA" w:rsidRDefault="00A874BA" w:rsidP="001E0B25">
      <w:pPr>
        <w:pStyle w:val="Subtitle"/>
        <w:tabs>
          <w:tab w:val="left" w:pos="3420"/>
        </w:tabs>
      </w:pPr>
      <w:r>
        <w:t xml:space="preserve">2021-2022 </w:t>
      </w:r>
      <w:r w:rsidR="001E0B25">
        <w:tab/>
      </w:r>
    </w:p>
    <w:p w14:paraId="70C6F2B6" w14:textId="77777777" w:rsidR="006A64B6" w:rsidRDefault="006A64B6" w:rsidP="006A64B6">
      <w:pPr>
        <w:pStyle w:val="Heading1"/>
      </w:pPr>
      <w:r>
        <w:t>Executive Summary</w:t>
      </w:r>
    </w:p>
    <w:p w14:paraId="1B5A33FE" w14:textId="60985B23" w:rsidR="006A64B6" w:rsidRDefault="006A64B6" w:rsidP="006A64B6">
      <w:r>
        <w:t>Penn State assessed the Effective Communication</w:t>
      </w:r>
      <w:r w:rsidR="00444B01">
        <w:t xml:space="preserve">, one of </w:t>
      </w:r>
      <w:r w:rsidR="002070BC">
        <w:t>seven learning objectives for the General Education curriculum,</w:t>
      </w:r>
      <w:r>
        <w:t xml:space="preserve"> in 2021-22 using a rubric developed and applied by faculty. During the fall and spring 1,</w:t>
      </w:r>
      <w:r w:rsidR="006F1468">
        <w:t>5</w:t>
      </w:r>
      <w:r w:rsidR="00382316">
        <w:t>27</w:t>
      </w:r>
      <w:r>
        <w:t xml:space="preserve"> unique instructors across the Commonwealth taught </w:t>
      </w:r>
      <w:r w:rsidR="00382316">
        <w:t xml:space="preserve">4,950 </w:t>
      </w:r>
      <w:r>
        <w:t>course sections designated as meeting the Effective Communication objectives; 1</w:t>
      </w:r>
      <w:r w:rsidR="00382316">
        <w:t>4</w:t>
      </w:r>
      <w:r>
        <w:t xml:space="preserve">% of invited instructors contributed to the study with data from </w:t>
      </w:r>
      <w:r w:rsidR="00382316">
        <w:t>5</w:t>
      </w:r>
      <w:r>
        <w:t>% of all course sections. Instructors reported the number of students considered to be developing, satisfactory, and exemplary for each of the three Effective Communication criteria: substance, delivery, and adaptation to audience and community building. Overall, students scored similarly across all three criteria. While we might expect students to develop increasing communication proficiency over the course of their academic careers, the data reveal relatively consistent results across course levels.</w:t>
      </w:r>
      <w:r w:rsidRPr="00816FB4">
        <w:t xml:space="preserve"> </w:t>
      </w:r>
      <w:r>
        <w:t xml:space="preserve">Responses were also grouped by </w:t>
      </w:r>
      <w:r w:rsidR="00A37D61">
        <w:t>G</w:t>
      </w:r>
      <w:r>
        <w:t xml:space="preserve">eneral </w:t>
      </w:r>
      <w:r w:rsidR="00A37D61">
        <w:t>E</w:t>
      </w:r>
      <w:r>
        <w:t xml:space="preserve">ducation domains (e.g., quantification, arts) to look for overall </w:t>
      </w:r>
      <w:r w:rsidRPr="000A2F63">
        <w:t>patterns</w:t>
      </w:r>
      <w:r>
        <w:t xml:space="preserve"> but </w:t>
      </w:r>
      <w:r w:rsidR="00273D0A">
        <w:t>there were</w:t>
      </w:r>
      <w:r>
        <w:t xml:space="preserve"> no significant difference by domain.</w:t>
      </w:r>
      <w:r w:rsidRPr="002C79B3">
        <w:t xml:space="preserve"> </w:t>
      </w:r>
      <w:r>
        <w:t xml:space="preserve">Several limitations have been identified in the 2021-22 study </w:t>
      </w:r>
      <w:r w:rsidR="00867F09">
        <w:t xml:space="preserve">that </w:t>
      </w:r>
      <w:r w:rsidR="00273D0A">
        <w:t>have</w:t>
      </w:r>
      <w:r>
        <w:t xml:space="preserve"> inform</w:t>
      </w:r>
      <w:r w:rsidR="00273D0A">
        <w:t>ed</w:t>
      </w:r>
      <w:r>
        <w:t xml:space="preserve"> the approach to the 2022-23 study of the Creative Thinking and Global Learning outcomes. The Joint Committee on General Education Assessment will use this year to explore questions around the acceptable ratio of </w:t>
      </w:r>
      <w:r w:rsidR="00A37D61">
        <w:t>d</w:t>
      </w:r>
      <w:r>
        <w:t>eveloping/</w:t>
      </w:r>
      <w:r w:rsidR="00273D0A">
        <w:br/>
      </w:r>
      <w:r w:rsidR="00A37D61">
        <w:t>s</w:t>
      </w:r>
      <w:r>
        <w:t>atisfactory/</w:t>
      </w:r>
      <w:r w:rsidR="00A37D61">
        <w:t>e</w:t>
      </w:r>
      <w:r>
        <w:t xml:space="preserve">xemplary scores and whether all </w:t>
      </w:r>
      <w:r w:rsidR="00A37D61">
        <w:t>G</w:t>
      </w:r>
      <w:r>
        <w:t xml:space="preserve">eneral </w:t>
      </w:r>
      <w:r w:rsidR="00A37D61">
        <w:t>E</w:t>
      </w:r>
      <w:r>
        <w:t xml:space="preserve">ducation courses, regardless of course level, should be expected to achieve the same level of student performance on the appropriate learning outcomes.  </w:t>
      </w:r>
    </w:p>
    <w:p w14:paraId="513CEE08" w14:textId="77777777" w:rsidR="00C224B0" w:rsidRDefault="00C224B0" w:rsidP="00C224B0">
      <w:pPr>
        <w:pStyle w:val="Heading1"/>
      </w:pPr>
      <w:r>
        <w:t>Introduction</w:t>
      </w:r>
    </w:p>
    <w:p w14:paraId="4A755FE8" w14:textId="6C88B92F" w:rsidR="00C224B0" w:rsidRDefault="00850BAE" w:rsidP="00A874BA">
      <w:r>
        <w:t>Direct a</w:t>
      </w:r>
      <w:r w:rsidR="00C224B0">
        <w:t xml:space="preserve">ssessment of learning objectives is a key component of Penn State’s approach to General Education. In 2021-2022, Office of Planning, Assessment, and Institutional Research (OPAIR) staff, with guidance from the Joint Committee on General Education Assessment and the General Education Scholars, assessed the Effective Communication objective. </w:t>
      </w:r>
    </w:p>
    <w:p w14:paraId="72310D38" w14:textId="7224515C" w:rsidR="00A874BA" w:rsidRPr="00C224B0" w:rsidRDefault="00C224B0" w:rsidP="00C224B0">
      <w:pPr>
        <w:pStyle w:val="IntenseQuote"/>
      </w:pPr>
      <w:r>
        <w:t xml:space="preserve">Effective Communication is the </w:t>
      </w:r>
      <w:r w:rsidRPr="00C224B0">
        <w:t xml:space="preserve">ability </w:t>
      </w:r>
      <w:r w:rsidR="00156766">
        <w:t xml:space="preserve">to </w:t>
      </w:r>
      <w:r w:rsidRPr="00C224B0">
        <w:t xml:space="preserve">exchange information and ideas in oral, written, and visual form in ways that allow for informed and persuasive discourse that builds trust and respect among those engaged in that exchange, and helps create environments where creative ideas and problem-solving flourish. </w:t>
      </w:r>
    </w:p>
    <w:p w14:paraId="1A776F10" w14:textId="3E71F170" w:rsidR="006933E0" w:rsidRDefault="006933E0" w:rsidP="006933E0">
      <w:pPr>
        <w:pStyle w:val="Heading1"/>
      </w:pPr>
      <w:r>
        <w:t>Methods</w:t>
      </w:r>
    </w:p>
    <w:p w14:paraId="3A5AA888" w14:textId="3E0469CB" w:rsidR="0047440D" w:rsidRDefault="4452A66B" w:rsidP="00C70329">
      <w:r>
        <w:t xml:space="preserve">Penn State’s </w:t>
      </w:r>
      <w:r w:rsidR="6C46B401">
        <w:t xml:space="preserve">2019-2020 </w:t>
      </w:r>
      <w:r w:rsidR="5EA324E6">
        <w:t xml:space="preserve">General Education </w:t>
      </w:r>
      <w:r>
        <w:t>Faculty</w:t>
      </w:r>
      <w:r w:rsidR="5EA324E6">
        <w:t xml:space="preserve"> Scholars worked closely with OPAIR staff to develop an Effective Communication rubric that would be relevant across disciplines. The rubric </w:t>
      </w:r>
      <w:r w:rsidR="74F29918">
        <w:t xml:space="preserve">(see </w:t>
      </w:r>
      <w:hyperlink w:anchor="_Appendix">
        <w:r w:rsidR="74F29918" w:rsidRPr="5278EF41">
          <w:rPr>
            <w:rStyle w:val="Hyperlink"/>
          </w:rPr>
          <w:t>Appendix</w:t>
        </w:r>
      </w:hyperlink>
      <w:r w:rsidR="74F29918">
        <w:t xml:space="preserve">) </w:t>
      </w:r>
      <w:r w:rsidR="5EA324E6">
        <w:t xml:space="preserve">focused on three criteria: </w:t>
      </w:r>
    </w:p>
    <w:p w14:paraId="246C31CD" w14:textId="0FFAB1FB" w:rsidR="00C70329" w:rsidRDefault="0047440D" w:rsidP="0047440D">
      <w:pPr>
        <w:pStyle w:val="ListParagraph"/>
        <w:numPr>
          <w:ilvl w:val="0"/>
          <w:numId w:val="1"/>
        </w:numPr>
      </w:pPr>
      <w:r>
        <w:t>Substance – Does the communication address the topic or subject matter it is supposed to address and is it relevant and compelling in doing so?</w:t>
      </w:r>
    </w:p>
    <w:p w14:paraId="1F8A9B44" w14:textId="0BB93975" w:rsidR="0047440D" w:rsidRDefault="0047440D" w:rsidP="0047440D">
      <w:pPr>
        <w:pStyle w:val="ListParagraph"/>
        <w:numPr>
          <w:ilvl w:val="0"/>
          <w:numId w:val="1"/>
        </w:numPr>
      </w:pPr>
      <w:r>
        <w:t xml:space="preserve">Delivery – Formal qualities or elements of the mode of communication including grammar, mechanics, technique involved in presentation, and techniques or conventions relevant to the format. </w:t>
      </w:r>
    </w:p>
    <w:p w14:paraId="5BDDE3B7" w14:textId="2FD05D96" w:rsidR="0047440D" w:rsidRDefault="0047440D" w:rsidP="0047440D">
      <w:pPr>
        <w:pStyle w:val="ListParagraph"/>
        <w:numPr>
          <w:ilvl w:val="0"/>
          <w:numId w:val="1"/>
        </w:numPr>
      </w:pPr>
      <w:r>
        <w:t xml:space="preserve">Adaptation to Audience &amp; Community Building – Is the communication successful at inviting an audience to engage with the communication and the degree to which it builds trust or respect between communicator and receiver? </w:t>
      </w:r>
    </w:p>
    <w:p w14:paraId="0FD35318" w14:textId="70722290" w:rsidR="002A5FDB" w:rsidRDefault="00F21183" w:rsidP="00916038">
      <w:pPr>
        <w:rPr>
          <w:rFonts w:ascii="Roboto" w:hAnsi="Roboto"/>
          <w:color w:val="314F64"/>
          <w:shd w:val="clear" w:color="auto" w:fill="F7F7F7"/>
        </w:rPr>
      </w:pPr>
      <w:r>
        <w:t xml:space="preserve">Instructors </w:t>
      </w:r>
      <w:r w:rsidR="00916038">
        <w:t xml:space="preserve">were asked to choose an assignment that </w:t>
      </w:r>
      <w:r w:rsidR="009645EB">
        <w:t>required</w:t>
      </w:r>
      <w:r w:rsidR="00916038">
        <w:t xml:space="preserve"> students to engage in an act of communication</w:t>
      </w:r>
      <w:r w:rsidR="00F3415C">
        <w:t>.</w:t>
      </w:r>
      <w:r w:rsidR="005153D3">
        <w:t xml:space="preserve"> Communication </w:t>
      </w:r>
      <w:r w:rsidR="00650C66">
        <w:t>w</w:t>
      </w:r>
      <w:r w:rsidR="005153D3">
        <w:t>as not restricted solely to written and oral forms</w:t>
      </w:r>
      <w:r w:rsidR="008F0C21">
        <w:t xml:space="preserve"> </w:t>
      </w:r>
      <w:r w:rsidR="005153D3">
        <w:t>but could include a diverse range of modalities where students were asked to communicate thoughts</w:t>
      </w:r>
      <w:r w:rsidR="001D68F9">
        <w:t>, ideas, emotions, feeling</w:t>
      </w:r>
      <w:r w:rsidR="00F14D47">
        <w:t>, and more</w:t>
      </w:r>
      <w:r w:rsidR="00F14D47" w:rsidRPr="00650C66">
        <w:t>.</w:t>
      </w:r>
      <w:r w:rsidR="00650C66" w:rsidRPr="00650C66">
        <w:t xml:space="preserve"> Communicative acts in these varied contexts </w:t>
      </w:r>
      <w:r w:rsidR="007706E1">
        <w:t>could</w:t>
      </w:r>
      <w:r w:rsidR="00650C66" w:rsidRPr="00650C66">
        <w:t xml:space="preserve"> include</w:t>
      </w:r>
      <w:r w:rsidR="007706E1">
        <w:t xml:space="preserve">, </w:t>
      </w:r>
      <w:r w:rsidR="00650C66" w:rsidRPr="00650C66">
        <w:t xml:space="preserve">but </w:t>
      </w:r>
      <w:r w:rsidR="00650C66">
        <w:t>wer</w:t>
      </w:r>
      <w:r w:rsidR="00650C66" w:rsidRPr="00650C66">
        <w:t>e not limited to</w:t>
      </w:r>
      <w:r w:rsidR="007706E1">
        <w:t>,</w:t>
      </w:r>
      <w:r w:rsidR="00650C66" w:rsidRPr="00650C66">
        <w:t xml:space="preserve"> multimedia forms, artworks, designs, musical performances, and body movement or expressions.</w:t>
      </w:r>
      <w:r w:rsidR="00650C66">
        <w:rPr>
          <w:rFonts w:ascii="Roboto" w:hAnsi="Roboto"/>
          <w:color w:val="314F64"/>
          <w:shd w:val="clear" w:color="auto" w:fill="F7F7F7"/>
        </w:rPr>
        <w:t> </w:t>
      </w:r>
    </w:p>
    <w:p w14:paraId="67A30D72" w14:textId="0E69B963" w:rsidR="00E67383" w:rsidRDefault="002A5FDB" w:rsidP="00916038">
      <w:r w:rsidRPr="002A5FDB">
        <w:t xml:space="preserve">When choosing from available assignments, </w:t>
      </w:r>
      <w:r>
        <w:t>participants were encouraged to select</w:t>
      </w:r>
      <w:r w:rsidRPr="002A5FDB">
        <w:t xml:space="preserve"> those assignments that </w:t>
      </w:r>
      <w:r>
        <w:t>we</w:t>
      </w:r>
      <w:r w:rsidRPr="002A5FDB">
        <w:t xml:space="preserve">re more valuable in a student’s overall grade </w:t>
      </w:r>
      <w:r w:rsidR="00A43632">
        <w:t xml:space="preserve">(i.e., at least 10%) </w:t>
      </w:r>
      <w:r>
        <w:t xml:space="preserve">because these </w:t>
      </w:r>
      <w:r w:rsidRPr="002A5FDB">
        <w:t xml:space="preserve">are typically better in an assessment context as students take them more seriously.  This leads to a more authentic demonstration of their skills.  </w:t>
      </w:r>
      <w:r w:rsidR="007E4073">
        <w:t xml:space="preserve">Final projects, presentations, papers, and pieces were provided as examples of the best types of assignments for assessment. </w:t>
      </w:r>
      <w:r w:rsidR="00606D3C">
        <w:t xml:space="preserve">Participants were strongly encouraged to use an existing assignment rather than creating a new one solely for the purpose of the assessment study. </w:t>
      </w:r>
    </w:p>
    <w:p w14:paraId="5147B458" w14:textId="00989A2D" w:rsidR="0018160E" w:rsidRPr="002A5FDB" w:rsidRDefault="6322414A" w:rsidP="00916038">
      <w:r>
        <w:t xml:space="preserve">Instructor </w:t>
      </w:r>
      <w:r w:rsidR="6229B90C">
        <w:t xml:space="preserve">participants </w:t>
      </w:r>
      <w:r w:rsidR="601FD3A9">
        <w:t>evaluated individual student</w:t>
      </w:r>
      <w:r w:rsidR="6982C498">
        <w:t xml:space="preserve"> assignments</w:t>
      </w:r>
      <w:r w:rsidR="601FD3A9">
        <w:t xml:space="preserve"> on a three-point scale—developing (1), satisfactory</w:t>
      </w:r>
      <w:r w:rsidR="33387132">
        <w:t xml:space="preserve"> </w:t>
      </w:r>
      <w:r w:rsidR="601FD3A9">
        <w:t>(2), or exemplary</w:t>
      </w:r>
      <w:r w:rsidR="33387132">
        <w:t xml:space="preserve"> </w:t>
      </w:r>
      <w:r w:rsidR="601FD3A9">
        <w:t xml:space="preserve">(3)—for each </w:t>
      </w:r>
      <w:r w:rsidR="6982C498">
        <w:t>criterion</w:t>
      </w:r>
      <w:r w:rsidR="601FD3A9">
        <w:t xml:space="preserve"> on the rubric. </w:t>
      </w:r>
      <w:r w:rsidR="76B80A65">
        <w:t xml:space="preserve">Assessment best practice would </w:t>
      </w:r>
      <w:r w:rsidR="5C5709C0">
        <w:t>have all</w:t>
      </w:r>
      <w:r w:rsidR="76B80A65">
        <w:t xml:space="preserve"> </w:t>
      </w:r>
      <w:r w:rsidR="1A97EF75">
        <w:t>study</w:t>
      </w:r>
      <w:r w:rsidR="76B80A65">
        <w:t xml:space="preserve"> instructors </w:t>
      </w:r>
      <w:r w:rsidR="1A97EF75">
        <w:t xml:space="preserve">participate in a group training and norming session to </w:t>
      </w:r>
      <w:r w:rsidR="3F21EFDD">
        <w:t xml:space="preserve">develop a shared understanding of the rubric and how to apply it. </w:t>
      </w:r>
      <w:r w:rsidR="46CC1C8E">
        <w:t xml:space="preserve">This norming process would </w:t>
      </w:r>
      <w:r w:rsidR="4FA30E50">
        <w:t xml:space="preserve">allow for the establishment and documentation of interrater reliability. </w:t>
      </w:r>
      <w:r w:rsidR="2590E584">
        <w:t xml:space="preserve">In other words, it would help minimize variation in how different instructors interpret and apply the rubric. </w:t>
      </w:r>
      <w:r w:rsidR="009F33F9">
        <w:t xml:space="preserve">When the current </w:t>
      </w:r>
      <w:r w:rsidR="00F01CDE">
        <w:t xml:space="preserve">assessment </w:t>
      </w:r>
      <w:r w:rsidR="009F33F9">
        <w:t xml:space="preserve">approach was first </w:t>
      </w:r>
      <w:r w:rsidR="0001035C">
        <w:t xml:space="preserve">tested with </w:t>
      </w:r>
      <w:r w:rsidR="00864C25">
        <w:t xml:space="preserve">the </w:t>
      </w:r>
      <w:r w:rsidR="0001035C">
        <w:t>Integrative Learning</w:t>
      </w:r>
      <w:r w:rsidR="00864C25">
        <w:t xml:space="preserve"> objective in 2019</w:t>
      </w:r>
      <w:r w:rsidR="0001035C">
        <w:t xml:space="preserve">, </w:t>
      </w:r>
      <w:r w:rsidR="00864C25">
        <w:t xml:space="preserve">training was </w:t>
      </w:r>
      <w:r w:rsidR="00A3797A">
        <w:t>offered</w:t>
      </w:r>
      <w:r w:rsidR="00F062A7">
        <w:t xml:space="preserve"> but </w:t>
      </w:r>
      <w:r w:rsidR="2D3AE43A">
        <w:t xml:space="preserve">invitees </w:t>
      </w:r>
      <w:r w:rsidR="00890252">
        <w:t xml:space="preserve">did not participate. </w:t>
      </w:r>
      <w:r w:rsidR="008F17B7">
        <w:t>Hence,</w:t>
      </w:r>
      <w:r w:rsidR="26ACCD86">
        <w:t xml:space="preserve"> </w:t>
      </w:r>
      <w:r w:rsidR="66DF464E">
        <w:t xml:space="preserve">the need to </w:t>
      </w:r>
      <w:r w:rsidR="54AA3010">
        <w:t xml:space="preserve">minimize the time and effort required </w:t>
      </w:r>
      <w:r w:rsidR="786A7F3E">
        <w:t>to participate</w:t>
      </w:r>
      <w:r w:rsidR="54AA3010">
        <w:t xml:space="preserve"> was </w:t>
      </w:r>
      <w:r w:rsidR="786A7F3E">
        <w:t>prioritized</w:t>
      </w:r>
      <w:r w:rsidR="001177CE">
        <w:t xml:space="preserve"> i</w:t>
      </w:r>
      <w:r w:rsidR="00FD5D16">
        <w:t>n 2021-2022</w:t>
      </w:r>
      <w:r w:rsidR="008F17B7">
        <w:t xml:space="preserve"> and</w:t>
      </w:r>
      <w:r w:rsidR="003F78AB">
        <w:t xml:space="preserve"> training was not offered.</w:t>
      </w:r>
      <w:r w:rsidR="786A7F3E">
        <w:t xml:space="preserve"> </w:t>
      </w:r>
      <w:r w:rsidR="1297FB4C">
        <w:t>Individual students</w:t>
      </w:r>
      <w:r w:rsidR="5625C77B">
        <w:t>’</w:t>
      </w:r>
      <w:r w:rsidR="1297FB4C">
        <w:t xml:space="preserve"> </w:t>
      </w:r>
      <w:r w:rsidR="24BA260E">
        <w:t xml:space="preserve">scores were entered into a provided Excel spreadsheet and </w:t>
      </w:r>
      <w:r w:rsidR="6F02E5AD">
        <w:t xml:space="preserve">tallied into aggregate scores for each performance level and criterion. </w:t>
      </w:r>
      <w:r w:rsidR="5013F622">
        <w:t xml:space="preserve">This aggregate data was then submitted </w:t>
      </w:r>
      <w:r w:rsidR="745AA283">
        <w:t>by instructors</w:t>
      </w:r>
      <w:r w:rsidR="5013F622">
        <w:t xml:space="preserve"> via an online form. </w:t>
      </w:r>
    </w:p>
    <w:p w14:paraId="35D83E0A" w14:textId="5C1B8D35" w:rsidR="00CE0B0A" w:rsidRDefault="00AB4C16" w:rsidP="00CE0B0A">
      <w:pPr>
        <w:pStyle w:val="Heading1"/>
      </w:pPr>
      <w:r>
        <w:t xml:space="preserve">Instructor </w:t>
      </w:r>
      <w:r w:rsidR="00CE0B0A">
        <w:t>Participation</w:t>
      </w:r>
    </w:p>
    <w:p w14:paraId="43D0C386" w14:textId="33564B5D" w:rsidR="00CE0B0A" w:rsidRDefault="00CE0B0A" w:rsidP="00CE0B0A">
      <w:r>
        <w:t xml:space="preserve">OPAIR staff used institutional data to develop lists of instructors slated to teach at least one </w:t>
      </w:r>
      <w:r w:rsidR="6E03188B">
        <w:t xml:space="preserve">General Education course </w:t>
      </w:r>
      <w:r w:rsidR="76487429">
        <w:t xml:space="preserve">aligned with </w:t>
      </w:r>
      <w:r>
        <w:t xml:space="preserve">Effective Communication in fall 2021 </w:t>
      </w:r>
      <w:r w:rsidR="001F3839">
        <w:t xml:space="preserve">or </w:t>
      </w:r>
      <w:r>
        <w:t xml:space="preserve">spring 2022. OPAIR staff provided the instructor lists to the relevant academic administrators to alert them that the study was being conducted and that anyone teaching a General Education course is expected to address the objectives selected when the course was re-certified. The assistant vice provost for assessment emailed the relevant instructors prior to the start of </w:t>
      </w:r>
      <w:r w:rsidR="00293B25">
        <w:t xml:space="preserve">both </w:t>
      </w:r>
      <w:r>
        <w:t>semester</w:t>
      </w:r>
      <w:r w:rsidR="00293B25">
        <w:t>s</w:t>
      </w:r>
      <w:r>
        <w:t xml:space="preserve"> about their role in the upcoming assessment. During the third week of each semester, a second email was sent to instructors with detailed instructions for participating in the study. A final reminder with instructions was sent at the end of both semesters. Spring instructors that participated in the fall assessment were not asked to participate a second time. </w:t>
      </w:r>
    </w:p>
    <w:p w14:paraId="712C53AE" w14:textId="5E56814F" w:rsidR="00B86C78" w:rsidRDefault="00F913F7" w:rsidP="00CE0B0A">
      <w:r>
        <w:t>In total</w:t>
      </w:r>
      <w:r w:rsidR="00B3041E">
        <w:t xml:space="preserve">, </w:t>
      </w:r>
      <w:r w:rsidR="00EA4387">
        <w:t>4,950</w:t>
      </w:r>
      <w:r w:rsidR="00B3041E">
        <w:t xml:space="preserve"> co</w:t>
      </w:r>
      <w:r w:rsidR="003F1893">
        <w:t xml:space="preserve">urse sections </w:t>
      </w:r>
      <w:r w:rsidR="00205E26">
        <w:t xml:space="preserve">aligned </w:t>
      </w:r>
      <w:r w:rsidR="003F1893">
        <w:t xml:space="preserve">with the </w:t>
      </w:r>
      <w:r w:rsidR="00104F0A">
        <w:t>E</w:t>
      </w:r>
      <w:r w:rsidR="003F1893">
        <w:t xml:space="preserve">ffective </w:t>
      </w:r>
      <w:r w:rsidR="00104F0A">
        <w:t>C</w:t>
      </w:r>
      <w:r w:rsidR="003F1893">
        <w:t xml:space="preserve">ommunication learning objective were conducted during the study period. </w:t>
      </w:r>
      <w:r w:rsidR="00470AED">
        <w:t>This number includes sections</w:t>
      </w:r>
      <w:r w:rsidR="006D0C3D">
        <w:t xml:space="preserve"> offered at every Penn State location </w:t>
      </w:r>
      <w:r w:rsidR="00E10CFB">
        <w:t>(21)</w:t>
      </w:r>
      <w:r w:rsidR="00470AED">
        <w:t xml:space="preserve"> </w:t>
      </w:r>
      <w:r w:rsidR="006D0C3D">
        <w:t>offering undergraduate courses</w:t>
      </w:r>
      <w:r w:rsidR="00470AED">
        <w:t xml:space="preserve"> and via the World Campus</w:t>
      </w:r>
      <w:r w:rsidR="00050637">
        <w:t xml:space="preserve">. </w:t>
      </w:r>
      <w:r w:rsidR="00BB6ADE">
        <w:t xml:space="preserve">Where courses </w:t>
      </w:r>
      <w:r w:rsidR="00880425">
        <w:t xml:space="preserve">include </w:t>
      </w:r>
      <w:r w:rsidR="00BB6ADE">
        <w:t>separate components (e.g., lab and recitation</w:t>
      </w:r>
      <w:r w:rsidR="00880425">
        <w:t xml:space="preserve"> sections</w:t>
      </w:r>
      <w:r w:rsidR="00BB6ADE">
        <w:t>), both are counted</w:t>
      </w:r>
      <w:r w:rsidR="00BC6370">
        <w:t xml:space="preserve">. </w:t>
      </w:r>
      <w:r w:rsidR="001E3130">
        <w:t>A</w:t>
      </w:r>
      <w:r w:rsidR="00F83B39">
        <w:t xml:space="preserve">ssessments were submitted </w:t>
      </w:r>
      <w:r w:rsidR="007A371E">
        <w:t>for</w:t>
      </w:r>
      <w:r w:rsidR="00F83B39">
        <w:t xml:space="preserve"> 228 sections (</w:t>
      </w:r>
      <w:r w:rsidR="002A5DBF">
        <w:t>5</w:t>
      </w:r>
      <w:r w:rsidR="00F83B39">
        <w:t>%)</w:t>
      </w:r>
      <w:r w:rsidR="00963366">
        <w:t xml:space="preserve">. </w:t>
      </w:r>
      <w:r w:rsidR="00C16E49">
        <w:t>The</w:t>
      </w:r>
      <w:r w:rsidR="000244A6">
        <w:t xml:space="preserve"> </w:t>
      </w:r>
      <w:r w:rsidR="002A5DBF">
        <w:t>4,950</w:t>
      </w:r>
      <w:r w:rsidR="00C16E49">
        <w:t xml:space="preserve"> sections were taught by 1,</w:t>
      </w:r>
      <w:r w:rsidR="00FB1072">
        <w:t>527</w:t>
      </w:r>
      <w:r w:rsidR="006564A5">
        <w:t xml:space="preserve"> unique instructors, of which 217 submitted responses (</w:t>
      </w:r>
      <w:r w:rsidR="009932C4">
        <w:t>14</w:t>
      </w:r>
      <w:r w:rsidR="006564A5">
        <w:t>%).</w:t>
      </w:r>
    </w:p>
    <w:p w14:paraId="12DAFABC" w14:textId="7DCC3406" w:rsidR="00A90787" w:rsidRDefault="00A90787" w:rsidP="00A90787">
      <w:pPr>
        <w:pStyle w:val="Heading1"/>
      </w:pPr>
      <w:r>
        <w:t>Findin</w:t>
      </w:r>
      <w:r w:rsidR="0083062F">
        <w:t>gs</w:t>
      </w:r>
    </w:p>
    <w:p w14:paraId="0B1EAAD1" w14:textId="46A119C7" w:rsidR="009A61FF" w:rsidRDefault="00EA423A" w:rsidP="00625A04">
      <w:pPr>
        <w:keepNext/>
      </w:pPr>
      <w:r>
        <w:t xml:space="preserve">Instructors provided </w:t>
      </w:r>
      <w:r w:rsidR="00C45D97">
        <w:t>a course code and reported the number of students</w:t>
      </w:r>
      <w:r w:rsidR="00251429">
        <w:t xml:space="preserve"> considered to be developing, </w:t>
      </w:r>
      <w:r w:rsidR="009A7262">
        <w:t>satisfactory</w:t>
      </w:r>
      <w:r w:rsidR="00251429">
        <w:t xml:space="preserve">, and exemplary for each of the </w:t>
      </w:r>
      <w:r w:rsidR="009A7262">
        <w:t xml:space="preserve">three Effective Communication criteria. </w:t>
      </w:r>
      <w:r w:rsidR="001A7957">
        <w:t xml:space="preserve">Overall, students scored </w:t>
      </w:r>
      <w:r w:rsidR="4EC42230">
        <w:t>similarly</w:t>
      </w:r>
      <w:r w:rsidR="001A7957">
        <w:t xml:space="preserve"> across all three criteria</w:t>
      </w:r>
      <w:r w:rsidR="00130A06">
        <w:t xml:space="preserve"> (</w:t>
      </w:r>
      <w:r>
        <w:fldChar w:fldCharType="begin"/>
      </w:r>
      <w:r>
        <w:instrText xml:space="preserve"> REF _Ref111814143 \h </w:instrText>
      </w:r>
      <w:r>
        <w:fldChar w:fldCharType="separate"/>
      </w:r>
      <w:r w:rsidR="009F3382" w:rsidRPr="006A5622">
        <w:rPr>
          <w:b/>
          <w:bCs/>
        </w:rPr>
        <w:t xml:space="preserve">Figure </w:t>
      </w:r>
      <w:r w:rsidR="009F3382">
        <w:rPr>
          <w:b/>
          <w:bCs/>
          <w:noProof/>
        </w:rPr>
        <w:t>1</w:t>
      </w:r>
      <w:r>
        <w:fldChar w:fldCharType="end"/>
      </w:r>
      <w:r w:rsidR="00130A06">
        <w:t>)</w:t>
      </w:r>
      <w:r w:rsidR="001A7957">
        <w:t>.</w:t>
      </w:r>
    </w:p>
    <w:p w14:paraId="38A71A62" w14:textId="28E15DB2" w:rsidR="007B41E9" w:rsidRPr="006A5622" w:rsidRDefault="007B41E9" w:rsidP="002C6C0A">
      <w:pPr>
        <w:pStyle w:val="Caption"/>
      </w:pPr>
      <w:bookmarkStart w:id="0" w:name="_Ref111814143"/>
      <w:r w:rsidRPr="006A5622">
        <w:rPr>
          <w:b/>
          <w:bCs/>
        </w:rPr>
        <w:t xml:space="preserve">Figure </w:t>
      </w:r>
      <w:r w:rsidRPr="006A5622">
        <w:rPr>
          <w:b/>
          <w:bCs/>
        </w:rPr>
        <w:fldChar w:fldCharType="begin"/>
      </w:r>
      <w:r w:rsidRPr="006A5622">
        <w:rPr>
          <w:b/>
          <w:bCs/>
        </w:rPr>
        <w:instrText xml:space="preserve"> SEQ Figure \* ARABIC </w:instrText>
      </w:r>
      <w:r w:rsidRPr="006A5622">
        <w:rPr>
          <w:b/>
          <w:bCs/>
        </w:rPr>
        <w:fldChar w:fldCharType="separate"/>
      </w:r>
      <w:r w:rsidR="009F3382">
        <w:rPr>
          <w:b/>
          <w:bCs/>
          <w:noProof/>
        </w:rPr>
        <w:t>1</w:t>
      </w:r>
      <w:r w:rsidRPr="006A5622">
        <w:rPr>
          <w:b/>
          <w:bCs/>
        </w:rPr>
        <w:fldChar w:fldCharType="end"/>
      </w:r>
      <w:bookmarkEnd w:id="0"/>
      <w:r w:rsidRPr="006A5622">
        <w:rPr>
          <w:b/>
          <w:bCs/>
        </w:rPr>
        <w:t>.</w:t>
      </w:r>
      <w:r w:rsidRPr="006A5622">
        <w:t xml:space="preserve"> Overall proficiency across the </w:t>
      </w:r>
      <w:r w:rsidRPr="002C6C0A">
        <w:t>three</w:t>
      </w:r>
      <w:r w:rsidRPr="006A5622">
        <w:t xml:space="preserve"> criteria among all students scored.</w:t>
      </w:r>
    </w:p>
    <w:p w14:paraId="781DA51C" w14:textId="4E2D359F" w:rsidR="00E139FA" w:rsidRDefault="00E139FA" w:rsidP="009A61FF">
      <w:pPr>
        <w:keepNext/>
        <w:jc w:val="center"/>
      </w:pPr>
      <w:r>
        <w:rPr>
          <w:noProof/>
        </w:rPr>
        <w:drawing>
          <wp:inline distT="0" distB="0" distL="0" distR="0" wp14:anchorId="7EA4F281" wp14:editId="241F2FBC">
            <wp:extent cx="4605337" cy="2881313"/>
            <wp:effectExtent l="0" t="0" r="5080" b="14605"/>
            <wp:docPr id="1" name="Chart 1" descr="Bar graph showing students overall proficiency with Effective Communication is consistent across all three criteria and each are roughly divided into 15% of students are Developing, 40% are Satisfactory, and 40% are Exemplary.">
              <a:extLst xmlns:a="http://schemas.openxmlformats.org/drawingml/2006/main">
                <a:ext uri="{FF2B5EF4-FFF2-40B4-BE49-F238E27FC236}">
                  <a16:creationId xmlns:a16="http://schemas.microsoft.com/office/drawing/2014/main" id="{7F26B2F5-F4BF-625E-8C9C-4B1D94C913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567658" w14:textId="77777777" w:rsidR="001B3F18" w:rsidRDefault="001B3F18" w:rsidP="00661312"/>
    <w:p w14:paraId="4493ECE8" w14:textId="1177A59D" w:rsidR="001C4F35" w:rsidRDefault="0EF8EACB" w:rsidP="00661312">
      <w:r>
        <w:t xml:space="preserve">We </w:t>
      </w:r>
      <w:r w:rsidR="45038B34">
        <w:t xml:space="preserve">might </w:t>
      </w:r>
      <w:r>
        <w:t>expect s</w:t>
      </w:r>
      <w:r w:rsidR="3C95981D">
        <w:t xml:space="preserve">tudents </w:t>
      </w:r>
      <w:r>
        <w:t xml:space="preserve">to </w:t>
      </w:r>
      <w:r w:rsidR="3C95981D">
        <w:t xml:space="preserve">develop </w:t>
      </w:r>
      <w:r w:rsidR="58DF2B24">
        <w:t xml:space="preserve">increasing </w:t>
      </w:r>
      <w:r w:rsidR="148BD636">
        <w:t xml:space="preserve">communication proficiency over the course of </w:t>
      </w:r>
      <w:r w:rsidR="58DF2B24">
        <w:t>their academic careers</w:t>
      </w:r>
      <w:r w:rsidR="3C95981D">
        <w:t xml:space="preserve">. </w:t>
      </w:r>
      <w:r w:rsidR="4787A869">
        <w:t xml:space="preserve">By grouping responses </w:t>
      </w:r>
      <w:r w:rsidR="1FA6A92F">
        <w:t>at</w:t>
      </w:r>
      <w:r w:rsidR="4787A869">
        <w:t xml:space="preserve"> the course level, </w:t>
      </w:r>
      <w:r>
        <w:t>we</w:t>
      </w:r>
      <w:r w:rsidR="1FA6A92F">
        <w:t xml:space="preserve"> expect to see the</w:t>
      </w:r>
      <w:r w:rsidR="45C9FAF2">
        <w:t xml:space="preserve"> numbers of students rated ‘exemplary’ increase</w:t>
      </w:r>
      <w:r w:rsidR="2F134695">
        <w:t xml:space="preserve"> with the</w:t>
      </w:r>
      <w:r w:rsidR="66D68615">
        <w:t xml:space="preserve"> course level.</w:t>
      </w:r>
      <w:r w:rsidR="00095BB3">
        <w:t xml:space="preserve"> </w:t>
      </w:r>
      <w:r w:rsidR="52182AAF">
        <w:t xml:space="preserve">However, the data show relatively consistent results across course levels. </w:t>
      </w:r>
      <w:r w:rsidR="5760CF26">
        <w:t xml:space="preserve">For </w:t>
      </w:r>
      <w:r w:rsidR="2CF04295">
        <w:t>example,</w:t>
      </w:r>
      <w:r w:rsidR="6820AD16">
        <w:t xml:space="preserve"> if we look at 3 courses commonly associated with Communication skills</w:t>
      </w:r>
      <w:r w:rsidR="5760CF26">
        <w:t>, among the values reported for ENGL 15</w:t>
      </w:r>
      <w:r w:rsidR="546CDE24">
        <w:t>/</w:t>
      </w:r>
      <w:r w:rsidR="1D64F214">
        <w:t>ENGL 30</w:t>
      </w:r>
      <w:r w:rsidR="5760CF26">
        <w:t xml:space="preserve"> students, </w:t>
      </w:r>
      <w:r w:rsidR="1A7CB661">
        <w:t>43</w:t>
      </w:r>
      <w:r w:rsidR="5760CF26">
        <w:t>% scored as “exemplary” on</w:t>
      </w:r>
      <w:r w:rsidR="6D3577BB">
        <w:t xml:space="preserve"> </w:t>
      </w:r>
      <w:r w:rsidR="0EE5D622">
        <w:t>criteria 1,</w:t>
      </w:r>
      <w:r w:rsidR="058A605F">
        <w:t xml:space="preserve"> as did 44% of CAS 100 students and 42% of ENGL 202 students.</w:t>
      </w:r>
      <w:r w:rsidR="041A91B1">
        <w:t xml:space="preserve"> </w:t>
      </w:r>
      <w:r w:rsidR="145C8812">
        <w:t>Chi-square analysis across levels also suggests that no significant differences in proficiency exist between course levels.</w:t>
      </w:r>
      <w:r w:rsidR="721EBDDF">
        <w:t xml:space="preserve"> This holds true across all three criteria.</w:t>
      </w:r>
    </w:p>
    <w:p w14:paraId="5940DD69" w14:textId="591F8459" w:rsidR="00AC1147" w:rsidRPr="00615CC5" w:rsidRDefault="55B96817">
      <w:pPr>
        <w:rPr>
          <w:b/>
          <w:bCs/>
        </w:rPr>
      </w:pPr>
      <w:r>
        <w:t xml:space="preserve">One </w:t>
      </w:r>
      <w:r w:rsidR="5C5B3CBE">
        <w:t xml:space="preserve">limitation </w:t>
      </w:r>
      <w:r w:rsidR="7A817F8F">
        <w:t xml:space="preserve">in exploring </w:t>
      </w:r>
      <w:r w:rsidR="10DE575A">
        <w:t xml:space="preserve">increasing ability </w:t>
      </w:r>
      <w:r w:rsidR="7A817F8F">
        <w:t xml:space="preserve">over time - from </w:t>
      </w:r>
      <w:r w:rsidR="62712B67">
        <w:t>matriculation</w:t>
      </w:r>
      <w:r w:rsidR="7A817F8F">
        <w:t xml:space="preserve"> to </w:t>
      </w:r>
      <w:r w:rsidR="7E7BBBEA">
        <w:t>graduation</w:t>
      </w:r>
      <w:r w:rsidR="7A817F8F">
        <w:t xml:space="preserve"> - is </w:t>
      </w:r>
      <w:r w:rsidR="060B2A4E">
        <w:t xml:space="preserve">the lack of </w:t>
      </w:r>
      <w:r w:rsidR="426D0F09">
        <w:t>upper-</w:t>
      </w:r>
      <w:r w:rsidR="457AB80D">
        <w:t>level courses</w:t>
      </w:r>
      <w:r w:rsidR="464958EC">
        <w:t xml:space="preserve"> in the study and in the population</w:t>
      </w:r>
      <w:r w:rsidR="457AB80D">
        <w:t xml:space="preserve">. </w:t>
      </w:r>
      <w:r w:rsidR="2C729437">
        <w:t xml:space="preserve">Most of Penn State’s </w:t>
      </w:r>
      <w:r w:rsidR="047BF66D">
        <w:t>G</w:t>
      </w:r>
      <w:r w:rsidR="163EFC5F">
        <w:t xml:space="preserve">eneral </w:t>
      </w:r>
      <w:r w:rsidR="0C8C2E1B">
        <w:t>Education</w:t>
      </w:r>
      <w:r w:rsidR="163EFC5F">
        <w:t xml:space="preserve"> courses are </w:t>
      </w:r>
      <w:r w:rsidR="07E774D5">
        <w:t>lower-level</w:t>
      </w:r>
      <w:r w:rsidR="239040AE">
        <w:t xml:space="preserve"> by design</w:t>
      </w:r>
      <w:r w:rsidR="519C6756">
        <w:t xml:space="preserve"> and in this study only </w:t>
      </w:r>
      <w:r w:rsidR="00A421EB">
        <w:t>1.8</w:t>
      </w:r>
      <w:r w:rsidR="0061156D">
        <w:t xml:space="preserve">% </w:t>
      </w:r>
      <w:r w:rsidR="519C6756">
        <w:t xml:space="preserve">of the </w:t>
      </w:r>
      <w:r w:rsidR="251A7978">
        <w:t xml:space="preserve">course </w:t>
      </w:r>
      <w:r w:rsidR="6337698A">
        <w:t xml:space="preserve">population </w:t>
      </w:r>
      <w:r w:rsidR="251A7978">
        <w:t>was</w:t>
      </w:r>
      <w:r w:rsidR="43DD2692">
        <w:t xml:space="preserve"> 300- or 400-level</w:t>
      </w:r>
      <w:r w:rsidR="5EBA1DBA">
        <w:t xml:space="preserve"> sections</w:t>
      </w:r>
      <w:r w:rsidR="43DD2692">
        <w:t xml:space="preserve">. </w:t>
      </w:r>
      <w:r w:rsidR="7EC1A1AC">
        <w:t>Subsequently,</w:t>
      </w:r>
      <w:r w:rsidR="457AB80D">
        <w:t xml:space="preserve"> </w:t>
      </w:r>
      <w:r w:rsidR="7EC1A1AC">
        <w:t>m</w:t>
      </w:r>
      <w:r w:rsidR="426D0F09">
        <w:t>ost</w:t>
      </w:r>
      <w:r w:rsidR="2709AA7C">
        <w:t xml:space="preserve"> reported scores are from 10</w:t>
      </w:r>
      <w:r w:rsidR="503C52D1">
        <w:t>-</w:t>
      </w:r>
      <w:r w:rsidR="2709AA7C">
        <w:t>, 100</w:t>
      </w:r>
      <w:r w:rsidR="503C52D1">
        <w:t>-</w:t>
      </w:r>
      <w:r w:rsidR="2709AA7C">
        <w:t>, and 200</w:t>
      </w:r>
      <w:r w:rsidR="503C52D1">
        <w:t>-</w:t>
      </w:r>
      <w:r w:rsidR="2709AA7C">
        <w:t>level courses</w:t>
      </w:r>
      <w:r w:rsidR="2500D2BB">
        <w:t xml:space="preserve">. </w:t>
      </w:r>
      <w:r w:rsidR="70CA6BFF">
        <w:t>Upper</w:t>
      </w:r>
      <w:r w:rsidR="089D03A6">
        <w:t>-</w:t>
      </w:r>
      <w:r w:rsidR="2709AA7C">
        <w:t xml:space="preserve">level courses </w:t>
      </w:r>
      <w:r w:rsidR="2500D2BB">
        <w:t>were</w:t>
      </w:r>
      <w:r w:rsidR="2709AA7C">
        <w:t xml:space="preserve"> represented by scores from </w:t>
      </w:r>
      <w:r w:rsidR="6BE917D9">
        <w:t>only</w:t>
      </w:r>
      <w:r w:rsidR="2709AA7C">
        <w:t xml:space="preserve"> four sections.</w:t>
      </w:r>
      <w:r w:rsidR="7B7D0959">
        <w:t xml:space="preserve"> </w:t>
      </w:r>
      <w:r w:rsidR="2F134695">
        <w:t xml:space="preserve">The small sample size </w:t>
      </w:r>
      <w:r w:rsidR="0DC6DDED">
        <w:t>is insufficient for broad analysis</w:t>
      </w:r>
      <w:r w:rsidR="0388876B">
        <w:t xml:space="preserve"> across all five levels</w:t>
      </w:r>
      <w:r w:rsidR="00944CB7">
        <w:t xml:space="preserve"> (010, 100, 200, 300, and 400)</w:t>
      </w:r>
      <w:r w:rsidR="0DC6DDED">
        <w:t xml:space="preserve">. </w:t>
      </w:r>
      <w:r w:rsidR="10EFB34F">
        <w:t>Focusing on</w:t>
      </w:r>
      <w:r w:rsidR="7B7D0959">
        <w:t xml:space="preserve"> </w:t>
      </w:r>
      <w:r w:rsidR="20AE28E8">
        <w:t xml:space="preserve">lower-level courses </w:t>
      </w:r>
      <w:r w:rsidR="26C9E290">
        <w:t>(10, 100, and 200)</w:t>
      </w:r>
      <w:r w:rsidR="20AE28E8">
        <w:t xml:space="preserve">, there is a pattern of </w:t>
      </w:r>
      <w:r w:rsidR="615C1FC8">
        <w:t>increasing proficiency from levels 10 to 100 and then decreasing proficiency from levels 100 to 200</w:t>
      </w:r>
      <w:r w:rsidR="4E5EE536">
        <w:t xml:space="preserve"> across all three criteria</w:t>
      </w:r>
      <w:r w:rsidR="42E69BE7">
        <w:t xml:space="preserve"> (</w:t>
      </w:r>
      <w:r w:rsidR="00615CC5" w:rsidRPr="5278EF41">
        <w:rPr>
          <w:b/>
          <w:bCs/>
        </w:rPr>
        <w:t xml:space="preserve">Figure </w:t>
      </w:r>
      <w:r w:rsidR="00615CC5">
        <w:rPr>
          <w:b/>
          <w:bCs/>
          <w:noProof/>
        </w:rPr>
        <w:t xml:space="preserve">2, </w:t>
      </w:r>
      <w:r w:rsidR="00615CC5">
        <w:fldChar w:fldCharType="begin"/>
      </w:r>
      <w:r w:rsidR="00615CC5">
        <w:instrText xml:space="preserve"> REF _Ref111815190 \h </w:instrText>
      </w:r>
      <w:r w:rsidR="00615CC5">
        <w:fldChar w:fldCharType="separate"/>
      </w:r>
      <w:r w:rsidR="00CF30D6" w:rsidRPr="5278EF41">
        <w:rPr>
          <w:b/>
          <w:bCs/>
        </w:rPr>
        <w:t xml:space="preserve">Figure </w:t>
      </w:r>
      <w:r w:rsidR="00CF30D6">
        <w:rPr>
          <w:b/>
          <w:bCs/>
          <w:noProof/>
        </w:rPr>
        <w:t>3</w:t>
      </w:r>
      <w:r w:rsidR="00615CC5">
        <w:fldChar w:fldCharType="end"/>
      </w:r>
      <w:r w:rsidR="00615CC5">
        <w:t xml:space="preserve">, and </w:t>
      </w:r>
      <w:r w:rsidR="00615CC5">
        <w:fldChar w:fldCharType="begin"/>
      </w:r>
      <w:r w:rsidR="00615CC5">
        <w:instrText xml:space="preserve"> REF _Ref111815135 \h </w:instrText>
      </w:r>
      <w:r w:rsidR="00615CC5">
        <w:fldChar w:fldCharType="separate"/>
      </w:r>
      <w:r w:rsidR="00CF30D6" w:rsidRPr="5278EF41">
        <w:rPr>
          <w:b/>
          <w:bCs/>
        </w:rPr>
        <w:t xml:space="preserve">Figure </w:t>
      </w:r>
      <w:r w:rsidR="00CF30D6">
        <w:rPr>
          <w:b/>
          <w:bCs/>
          <w:noProof/>
        </w:rPr>
        <w:t>4</w:t>
      </w:r>
      <w:r w:rsidR="00615CC5">
        <w:fldChar w:fldCharType="end"/>
      </w:r>
      <w:r w:rsidR="00615CC5">
        <w:t xml:space="preserve">). </w:t>
      </w:r>
      <w:r w:rsidR="00146A3E">
        <w:t>Each criteria had a large effect size (Cohen’s w: 0.85, 0.60, and 0.60)</w:t>
      </w:r>
      <w:r w:rsidR="00816794">
        <w:t xml:space="preserve">, </w:t>
      </w:r>
      <w:r w:rsidR="00C9480F">
        <w:t>suggesting that the trend may be o</w:t>
      </w:r>
      <w:r w:rsidR="009934D8">
        <w:t xml:space="preserve">f practical </w:t>
      </w:r>
      <w:r w:rsidR="00D71806">
        <w:t xml:space="preserve">interest. </w:t>
      </w:r>
      <w:r w:rsidR="00A00432">
        <w:t>H</w:t>
      </w:r>
      <w:r w:rsidR="001451BA">
        <w:t xml:space="preserve">owever, </w:t>
      </w:r>
      <w:r w:rsidR="00DD4ADB">
        <w:t xml:space="preserve">no statistical significance was detected in any of the three criteria and the pattern may be due to random chance in this sample. </w:t>
      </w:r>
      <w:r w:rsidR="005245A3">
        <w:t xml:space="preserve">Future assessments should be conducted to determine the consistency of this pattern. </w:t>
      </w:r>
      <w:r w:rsidR="00C67B96">
        <w:t>T</w:t>
      </w:r>
      <w:r w:rsidR="000B4098">
        <w:t>he variation may reflect a lack of shared understanding of the rubric rather than true differences in student performance across the levels</w:t>
      </w:r>
      <w:r w:rsidR="3249E550">
        <w:t xml:space="preserve"> or variations in </w:t>
      </w:r>
      <w:r w:rsidR="6F6E384D">
        <w:t xml:space="preserve">the </w:t>
      </w:r>
      <w:r w:rsidR="3249E550">
        <w:t>expectatio</w:t>
      </w:r>
      <w:r w:rsidR="0796C40B">
        <w:t>n</w:t>
      </w:r>
      <w:r w:rsidR="3249E550">
        <w:t xml:space="preserve"> of </w:t>
      </w:r>
      <w:r w:rsidR="3612645C">
        <w:t xml:space="preserve">an </w:t>
      </w:r>
      <w:r w:rsidR="3249E550">
        <w:t xml:space="preserve">instructor based on the course level. For example, what is </w:t>
      </w:r>
      <w:r w:rsidR="56B75EF7">
        <w:t>considered</w:t>
      </w:r>
      <w:r w:rsidR="3249E550">
        <w:t xml:space="preserve"> exemplary for a 10- level course may not be exemplary for</w:t>
      </w:r>
      <w:r w:rsidR="1B81B422">
        <w:t xml:space="preserve"> a 200-level course</w:t>
      </w:r>
      <w:bookmarkStart w:id="1" w:name="_Ref111815123"/>
      <w:r w:rsidR="004D3AE1">
        <w:t xml:space="preserve">. </w:t>
      </w:r>
      <w:r w:rsidR="009B0167">
        <w:t xml:space="preserve">Future assessments should </w:t>
      </w:r>
      <w:r w:rsidR="003F3106">
        <w:t xml:space="preserve">be conducted to determine </w:t>
      </w:r>
      <w:r w:rsidR="00A00432">
        <w:t xml:space="preserve">the consistency of this pattern. </w:t>
      </w:r>
    </w:p>
    <w:p w14:paraId="7D7F9D32" w14:textId="6D991ED3" w:rsidR="002C6C0A" w:rsidRDefault="73B0BFE1" w:rsidP="002C6C0A">
      <w:pPr>
        <w:pStyle w:val="Caption"/>
      </w:pPr>
      <w:r w:rsidRPr="5278EF41">
        <w:rPr>
          <w:b/>
          <w:bCs/>
        </w:rPr>
        <w:t xml:space="preserve">Figure </w:t>
      </w:r>
      <w:r w:rsidR="002C6C0A" w:rsidRPr="5278EF41">
        <w:rPr>
          <w:b/>
          <w:bCs/>
        </w:rPr>
        <w:fldChar w:fldCharType="begin"/>
      </w:r>
      <w:r w:rsidR="002C6C0A" w:rsidRPr="5278EF41">
        <w:rPr>
          <w:b/>
          <w:bCs/>
        </w:rPr>
        <w:instrText xml:space="preserve"> SEQ Figure \* ARABIC </w:instrText>
      </w:r>
      <w:r w:rsidR="002C6C0A" w:rsidRPr="5278EF41">
        <w:rPr>
          <w:b/>
          <w:bCs/>
        </w:rPr>
        <w:fldChar w:fldCharType="separate"/>
      </w:r>
      <w:r w:rsidR="009F3382">
        <w:rPr>
          <w:b/>
          <w:bCs/>
          <w:noProof/>
        </w:rPr>
        <w:t>2</w:t>
      </w:r>
      <w:r w:rsidR="002C6C0A" w:rsidRPr="5278EF41">
        <w:rPr>
          <w:b/>
          <w:bCs/>
        </w:rPr>
        <w:fldChar w:fldCharType="end"/>
      </w:r>
      <w:bookmarkEnd w:id="1"/>
      <w:r w:rsidR="50C9FEA1" w:rsidRPr="5278EF41">
        <w:rPr>
          <w:b/>
          <w:bCs/>
        </w:rPr>
        <w:t>.</w:t>
      </w:r>
      <w:r w:rsidR="50C9FEA1">
        <w:t xml:space="preserve"> Proficiency based on course level for substance</w:t>
      </w:r>
      <w:r w:rsidR="7EAE8BBB">
        <w:t xml:space="preserve"> criterion</w:t>
      </w:r>
      <w:r w:rsidR="50C9FEA1">
        <w:t>.</w:t>
      </w:r>
    </w:p>
    <w:p w14:paraId="5CC1F64E" w14:textId="6741DAAB" w:rsidR="002C6C0A" w:rsidRDefault="00657E79" w:rsidP="003108C9">
      <w:pPr>
        <w:jc w:val="center"/>
      </w:pPr>
      <w:r>
        <w:rPr>
          <w:noProof/>
        </w:rPr>
        <w:drawing>
          <wp:inline distT="0" distB="0" distL="0" distR="0" wp14:anchorId="0E0C75BE" wp14:editId="4D8F3037">
            <wp:extent cx="4572000" cy="2447925"/>
            <wp:effectExtent l="0" t="0" r="0" b="9525"/>
            <wp:docPr id="13" name="Graphic 13" descr="Bar graph showing students proficiency for the Substance criteria across course levels: 000, 100, and 200. There is a pattern of increasing proficiency from levels 10 to 100 then decreasing proficiency from levels 100 to 200, however Chi-square analysis reveals no significant dif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Bar graph showing students proficiency for the Substance criteria across course levels: 000, 100, and 200. There is a pattern of increasing proficiency from levels 10 to 100 then decreasing proficiency from levels 100 to 200, however Chi-square analysis reveals no significant differences."/>
                    <pic:cNvPicPr/>
                  </pic:nvPicPr>
                  <pic:blipFill>
                    <a:blip r:embed="rId12">
                      <a:extLst>
                        <a:ext uri="{96DAC541-7B7A-43D3-8B79-37D633B846F1}">
                          <asvg:svgBlip xmlns:asvg="http://schemas.microsoft.com/office/drawing/2016/SVG/main" r:embed="rId13"/>
                        </a:ext>
                      </a:extLst>
                    </a:blip>
                    <a:stretch>
                      <a:fillRect/>
                    </a:stretch>
                  </pic:blipFill>
                  <pic:spPr>
                    <a:xfrm>
                      <a:off x="0" y="0"/>
                      <a:ext cx="4572000" cy="2447925"/>
                    </a:xfrm>
                    <a:prstGeom prst="rect">
                      <a:avLst/>
                    </a:prstGeom>
                  </pic:spPr>
                </pic:pic>
              </a:graphicData>
            </a:graphic>
          </wp:inline>
        </w:drawing>
      </w:r>
    </w:p>
    <w:p w14:paraId="1812F6CA" w14:textId="32828813" w:rsidR="002C6C0A" w:rsidRDefault="73B0BFE1" w:rsidP="002C6C0A">
      <w:pPr>
        <w:pStyle w:val="Caption"/>
      </w:pPr>
      <w:bookmarkStart w:id="2" w:name="_Ref111815190"/>
      <w:r w:rsidRPr="5278EF41">
        <w:rPr>
          <w:b/>
          <w:bCs/>
        </w:rPr>
        <w:t xml:space="preserve">Figure </w:t>
      </w:r>
      <w:r w:rsidR="002C6C0A" w:rsidRPr="5278EF41">
        <w:rPr>
          <w:b/>
          <w:bCs/>
        </w:rPr>
        <w:fldChar w:fldCharType="begin"/>
      </w:r>
      <w:r w:rsidR="002C6C0A" w:rsidRPr="5278EF41">
        <w:rPr>
          <w:b/>
          <w:bCs/>
        </w:rPr>
        <w:instrText xml:space="preserve"> SEQ Figure \* ARABIC </w:instrText>
      </w:r>
      <w:r w:rsidR="002C6C0A" w:rsidRPr="5278EF41">
        <w:rPr>
          <w:b/>
          <w:bCs/>
        </w:rPr>
        <w:fldChar w:fldCharType="separate"/>
      </w:r>
      <w:r w:rsidR="009F3382">
        <w:rPr>
          <w:b/>
          <w:bCs/>
          <w:noProof/>
        </w:rPr>
        <w:t>3</w:t>
      </w:r>
      <w:r w:rsidR="002C6C0A" w:rsidRPr="5278EF41">
        <w:rPr>
          <w:b/>
          <w:bCs/>
        </w:rPr>
        <w:fldChar w:fldCharType="end"/>
      </w:r>
      <w:bookmarkEnd w:id="2"/>
      <w:r w:rsidR="0DEB6DDD" w:rsidRPr="5278EF41">
        <w:rPr>
          <w:b/>
          <w:bCs/>
        </w:rPr>
        <w:t>.</w:t>
      </w:r>
      <w:r w:rsidR="0DEB6DDD">
        <w:t xml:space="preserve"> Proficiency based on course level for delivery</w:t>
      </w:r>
      <w:r w:rsidR="35D4D13C">
        <w:t xml:space="preserve"> criterion</w:t>
      </w:r>
      <w:r w:rsidR="0DEB6DDD">
        <w:t>.</w:t>
      </w:r>
    </w:p>
    <w:p w14:paraId="2D9A5278" w14:textId="174C14AD" w:rsidR="00A5453D" w:rsidRDefault="00A5453D" w:rsidP="003108C9">
      <w:pPr>
        <w:jc w:val="center"/>
      </w:pPr>
      <w:r>
        <w:rPr>
          <w:noProof/>
        </w:rPr>
        <w:drawing>
          <wp:inline distT="0" distB="0" distL="0" distR="0" wp14:anchorId="674A6266" wp14:editId="630DEC94">
            <wp:extent cx="4572000" cy="2447925"/>
            <wp:effectExtent l="0" t="0" r="0" b="9525"/>
            <wp:docPr id="14" name="Graphic 14" descr="Bar graph showing students proficiency for the Delivery criteria across course levels: 000, 100, and 200. There is a pattern of increasing proficiency from levels 10 to 100 then decreasing proficiency from levels 100 to 200, however Chi-square analysis reveals no significant dif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Bar graph showing students proficiency for the Delivery criteria across course levels: 000, 100, and 200. There is a pattern of increasing proficiency from levels 10 to 100 then decreasing proficiency from levels 100 to 200, however Chi-square analysis reveals no significant differences."/>
                    <pic:cNvPicPr/>
                  </pic:nvPicPr>
                  <pic:blipFill>
                    <a:blip r:embed="rId14">
                      <a:extLst>
                        <a:ext uri="{96DAC541-7B7A-43D3-8B79-37D633B846F1}">
                          <asvg:svgBlip xmlns:asvg="http://schemas.microsoft.com/office/drawing/2016/SVG/main" r:embed="rId15"/>
                        </a:ext>
                      </a:extLst>
                    </a:blip>
                    <a:stretch>
                      <a:fillRect/>
                    </a:stretch>
                  </pic:blipFill>
                  <pic:spPr>
                    <a:xfrm>
                      <a:off x="0" y="0"/>
                      <a:ext cx="4572000" cy="2447925"/>
                    </a:xfrm>
                    <a:prstGeom prst="rect">
                      <a:avLst/>
                    </a:prstGeom>
                  </pic:spPr>
                </pic:pic>
              </a:graphicData>
            </a:graphic>
          </wp:inline>
        </w:drawing>
      </w:r>
    </w:p>
    <w:p w14:paraId="7FFB16F8" w14:textId="46EB8F0C" w:rsidR="002C6C0A" w:rsidRDefault="73B0BFE1" w:rsidP="002C6C0A">
      <w:pPr>
        <w:pStyle w:val="Caption"/>
      </w:pPr>
      <w:bookmarkStart w:id="3" w:name="_Ref111815135"/>
      <w:r w:rsidRPr="5278EF41">
        <w:rPr>
          <w:b/>
          <w:bCs/>
        </w:rPr>
        <w:t xml:space="preserve">Figure </w:t>
      </w:r>
      <w:r w:rsidR="002C6C0A" w:rsidRPr="5278EF41">
        <w:rPr>
          <w:b/>
          <w:bCs/>
        </w:rPr>
        <w:fldChar w:fldCharType="begin"/>
      </w:r>
      <w:r w:rsidR="002C6C0A" w:rsidRPr="5278EF41">
        <w:rPr>
          <w:b/>
          <w:bCs/>
        </w:rPr>
        <w:instrText xml:space="preserve"> SEQ Figure \* ARABIC </w:instrText>
      </w:r>
      <w:r w:rsidR="002C6C0A" w:rsidRPr="5278EF41">
        <w:rPr>
          <w:b/>
          <w:bCs/>
        </w:rPr>
        <w:fldChar w:fldCharType="separate"/>
      </w:r>
      <w:r w:rsidR="009F3382">
        <w:rPr>
          <w:b/>
          <w:bCs/>
          <w:noProof/>
        </w:rPr>
        <w:t>4</w:t>
      </w:r>
      <w:r w:rsidR="002C6C0A" w:rsidRPr="5278EF41">
        <w:rPr>
          <w:b/>
          <w:bCs/>
        </w:rPr>
        <w:fldChar w:fldCharType="end"/>
      </w:r>
      <w:bookmarkEnd w:id="3"/>
      <w:r w:rsidR="0DEB6DDD" w:rsidRPr="5278EF41">
        <w:rPr>
          <w:b/>
          <w:bCs/>
        </w:rPr>
        <w:t>.</w:t>
      </w:r>
      <w:r w:rsidR="0DEB6DDD">
        <w:t xml:space="preserve"> Proficiency based on course level for adaptation to audience</w:t>
      </w:r>
      <w:r w:rsidR="505FC531">
        <w:t xml:space="preserve"> criteri</w:t>
      </w:r>
      <w:r w:rsidR="0BAE1525">
        <w:t>on</w:t>
      </w:r>
      <w:r w:rsidR="0DEB6DDD">
        <w:t>.</w:t>
      </w:r>
    </w:p>
    <w:p w14:paraId="1BFFBC9A" w14:textId="42E2CF8A" w:rsidR="00A5453D" w:rsidRDefault="00A5453D" w:rsidP="003108C9">
      <w:pPr>
        <w:jc w:val="center"/>
      </w:pPr>
      <w:r>
        <w:rPr>
          <w:noProof/>
        </w:rPr>
        <w:drawing>
          <wp:inline distT="0" distB="0" distL="0" distR="0" wp14:anchorId="1240B6DB" wp14:editId="03643CE0">
            <wp:extent cx="4572000" cy="2447925"/>
            <wp:effectExtent l="0" t="0" r="0" b="9525"/>
            <wp:docPr id="15" name="Graphic 15" descr="Bar graph showing students proficiency for the Adaptation to Audience criteria across course levels: 000, 100, and 200. There is a pattern of increasing proficiency from levels 10 to 100 then decreasing proficiency from levels 100 to 200, however Chi-square analysis reveals no significant dif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Bar graph showing students proficiency for the Adaptation to Audience criteria across course levels: 000, 100, and 200. There is a pattern of increasing proficiency from levels 10 to 100 then decreasing proficiency from levels 100 to 200, however Chi-square analysis reveals no significant differences."/>
                    <pic:cNvPicPr/>
                  </pic:nvPicPr>
                  <pic:blipFill>
                    <a:blip r:embed="rId16">
                      <a:extLst>
                        <a:ext uri="{96DAC541-7B7A-43D3-8B79-37D633B846F1}">
                          <asvg:svgBlip xmlns:asvg="http://schemas.microsoft.com/office/drawing/2016/SVG/main" r:embed="rId17"/>
                        </a:ext>
                      </a:extLst>
                    </a:blip>
                    <a:stretch>
                      <a:fillRect/>
                    </a:stretch>
                  </pic:blipFill>
                  <pic:spPr>
                    <a:xfrm>
                      <a:off x="0" y="0"/>
                      <a:ext cx="4572000" cy="2447925"/>
                    </a:xfrm>
                    <a:prstGeom prst="rect">
                      <a:avLst/>
                    </a:prstGeom>
                  </pic:spPr>
                </pic:pic>
              </a:graphicData>
            </a:graphic>
          </wp:inline>
        </w:drawing>
      </w:r>
    </w:p>
    <w:p w14:paraId="36E37A81" w14:textId="77777777" w:rsidR="007D2B1B" w:rsidRDefault="007D2B1B" w:rsidP="00661312"/>
    <w:p w14:paraId="0E2AF084" w14:textId="5E62C648" w:rsidR="001B0D5F" w:rsidRDefault="006406FB" w:rsidP="00661312">
      <w:r>
        <w:t>R</w:t>
      </w:r>
      <w:r w:rsidR="004F5C46">
        <w:t xml:space="preserve">esponses were </w:t>
      </w:r>
      <w:r w:rsidR="007423BF">
        <w:t xml:space="preserve">grouped by </w:t>
      </w:r>
      <w:r w:rsidR="00DD0A8F">
        <w:t>general education domain</w:t>
      </w:r>
      <w:r w:rsidR="006D4741">
        <w:t>s</w:t>
      </w:r>
      <w:r w:rsidR="007423BF">
        <w:t xml:space="preserve"> </w:t>
      </w:r>
      <w:r w:rsidR="007D2B1B">
        <w:t>(</w:t>
      </w:r>
      <w:r w:rsidR="007D2B1B">
        <w:fldChar w:fldCharType="begin"/>
      </w:r>
      <w:r w:rsidR="007D2B1B">
        <w:instrText xml:space="preserve"> REF _Ref111815253 \h </w:instrText>
      </w:r>
      <w:r w:rsidR="007D2B1B">
        <w:fldChar w:fldCharType="separate"/>
      </w:r>
      <w:r w:rsidR="009F3382" w:rsidRPr="5278EF41">
        <w:rPr>
          <w:b/>
          <w:bCs/>
        </w:rPr>
        <w:t xml:space="preserve">Table </w:t>
      </w:r>
      <w:r w:rsidR="009F3382">
        <w:rPr>
          <w:b/>
          <w:bCs/>
          <w:noProof/>
        </w:rPr>
        <w:t>1</w:t>
      </w:r>
      <w:r w:rsidR="007D2B1B">
        <w:fldChar w:fldCharType="end"/>
      </w:r>
      <w:r w:rsidR="007D2B1B">
        <w:t xml:space="preserve">) </w:t>
      </w:r>
      <w:r w:rsidR="007423BF">
        <w:t xml:space="preserve">to look for overall </w:t>
      </w:r>
      <w:r w:rsidR="007423BF" w:rsidRPr="000A2F63">
        <w:t>patterns.</w:t>
      </w:r>
      <w:r w:rsidR="00337349" w:rsidRPr="000A2F63">
        <w:t xml:space="preserve"> </w:t>
      </w:r>
    </w:p>
    <w:p w14:paraId="7EC5878E" w14:textId="6A7A0098" w:rsidR="007D2B1B" w:rsidRDefault="6D69CA45" w:rsidP="007D2B1B">
      <w:pPr>
        <w:pStyle w:val="Caption"/>
      </w:pPr>
      <w:bookmarkStart w:id="4" w:name="_Ref111815253"/>
      <w:bookmarkStart w:id="5" w:name="_Ref111815247"/>
      <w:r w:rsidRPr="5278EF41">
        <w:rPr>
          <w:b/>
          <w:bCs/>
        </w:rPr>
        <w:t xml:space="preserve">Table </w:t>
      </w:r>
      <w:r w:rsidR="007D2B1B" w:rsidRPr="5278EF41">
        <w:rPr>
          <w:b/>
          <w:bCs/>
        </w:rPr>
        <w:fldChar w:fldCharType="begin"/>
      </w:r>
      <w:r w:rsidR="007D2B1B" w:rsidRPr="5278EF41">
        <w:rPr>
          <w:b/>
          <w:bCs/>
        </w:rPr>
        <w:instrText xml:space="preserve"> SEQ Table \* ARABIC </w:instrText>
      </w:r>
      <w:r w:rsidR="007D2B1B" w:rsidRPr="5278EF41">
        <w:rPr>
          <w:b/>
          <w:bCs/>
        </w:rPr>
        <w:fldChar w:fldCharType="separate"/>
      </w:r>
      <w:r w:rsidR="009F3382">
        <w:rPr>
          <w:b/>
          <w:bCs/>
          <w:noProof/>
        </w:rPr>
        <w:t>1</w:t>
      </w:r>
      <w:r w:rsidR="007D2B1B" w:rsidRPr="5278EF41">
        <w:rPr>
          <w:b/>
          <w:bCs/>
        </w:rPr>
        <w:fldChar w:fldCharType="end"/>
      </w:r>
      <w:bookmarkEnd w:id="4"/>
      <w:r w:rsidRPr="5278EF41">
        <w:rPr>
          <w:b/>
          <w:bCs/>
        </w:rPr>
        <w:t>.</w:t>
      </w:r>
      <w:r>
        <w:t xml:space="preserve"> General Education domains.</w:t>
      </w:r>
      <w:bookmarkEnd w:id="5"/>
    </w:p>
    <w:tbl>
      <w:tblPr>
        <w:tblStyle w:val="PlainTable1"/>
        <w:tblW w:w="4680" w:type="dxa"/>
        <w:tblInd w:w="2160" w:type="dxa"/>
        <w:tblLook w:val="04A0" w:firstRow="1" w:lastRow="0" w:firstColumn="1" w:lastColumn="0" w:noHBand="0" w:noVBand="1"/>
      </w:tblPr>
      <w:tblGrid>
        <w:gridCol w:w="1075"/>
        <w:gridCol w:w="3605"/>
      </w:tblGrid>
      <w:tr w:rsidR="00FA33C6" w:rsidRPr="00A87F14" w14:paraId="555DD9AA" w14:textId="77777777" w:rsidTr="6AECAE22">
        <w:trPr>
          <w:cnfStyle w:val="100000000000" w:firstRow="1" w:lastRow="0" w:firstColumn="0" w:lastColumn="0" w:oddVBand="0" w:evenVBand="0" w:oddHBand="0" w:evenHBand="0" w:firstRowFirstColumn="0" w:firstRowLastColumn="0" w:lastRowFirstColumn="0" w:lastRowLastColumn="0"/>
          <w:trHeight w:hRule="exact" w:val="472"/>
          <w:tblHeader/>
        </w:trPr>
        <w:tc>
          <w:tcPr>
            <w:cnfStyle w:val="001000000000" w:firstRow="0" w:lastRow="0" w:firstColumn="1" w:lastColumn="0" w:oddVBand="0" w:evenVBand="0" w:oddHBand="0" w:evenHBand="0" w:firstRowFirstColumn="0" w:firstRowLastColumn="0" w:lastRowFirstColumn="0" w:lastRowLastColumn="0"/>
            <w:tcW w:w="1075" w:type="dxa"/>
            <w:noWrap/>
            <w:vAlign w:val="center"/>
          </w:tcPr>
          <w:p w14:paraId="6A6C4D2D" w14:textId="77777777" w:rsidR="00FA33C6" w:rsidRPr="00A87F14" w:rsidRDefault="00FA33C6" w:rsidP="00D76FF8">
            <w:pPr>
              <w:rPr>
                <w:rFonts w:ascii="Calibri" w:eastAsia="Times New Roman" w:hAnsi="Calibri" w:cs="Calibri"/>
                <w:color w:val="000000"/>
              </w:rPr>
            </w:pPr>
            <w:r>
              <w:rPr>
                <w:rFonts w:ascii="Calibri" w:eastAsia="Times New Roman" w:hAnsi="Calibri" w:cs="Calibri"/>
                <w:color w:val="000000"/>
              </w:rPr>
              <w:t>Code</w:t>
            </w:r>
          </w:p>
        </w:tc>
        <w:tc>
          <w:tcPr>
            <w:tcW w:w="3605" w:type="dxa"/>
            <w:noWrap/>
            <w:vAlign w:val="center"/>
          </w:tcPr>
          <w:p w14:paraId="57D9B0BB" w14:textId="77777777" w:rsidR="00FA33C6" w:rsidRPr="00A87F14" w:rsidRDefault="00FA33C6" w:rsidP="00D76FF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General Education Domain</w:t>
            </w:r>
          </w:p>
        </w:tc>
      </w:tr>
      <w:tr w:rsidR="00FA33C6" w:rsidRPr="00A87F14" w14:paraId="06E0553C" w14:textId="77777777" w:rsidTr="6AECAE22">
        <w:trPr>
          <w:cnfStyle w:val="000000100000" w:firstRow="0" w:lastRow="0" w:firstColumn="0" w:lastColumn="0" w:oddVBand="0" w:evenVBand="0" w:oddHBand="1" w:evenHBand="0" w:firstRowFirstColumn="0" w:firstRowLastColumn="0" w:lastRowFirstColumn="0" w:lastRowLastColumn="0"/>
          <w:trHeight w:hRule="exact" w:val="472"/>
        </w:trPr>
        <w:tc>
          <w:tcPr>
            <w:cnfStyle w:val="001000000000" w:firstRow="0" w:lastRow="0" w:firstColumn="1" w:lastColumn="0" w:oddVBand="0" w:evenVBand="0" w:oddHBand="0" w:evenHBand="0" w:firstRowFirstColumn="0" w:firstRowLastColumn="0" w:lastRowFirstColumn="0" w:lastRowLastColumn="0"/>
            <w:tcW w:w="1075" w:type="dxa"/>
            <w:noWrap/>
            <w:vAlign w:val="center"/>
            <w:hideMark/>
          </w:tcPr>
          <w:p w14:paraId="0C741F89" w14:textId="77777777" w:rsidR="00FA33C6" w:rsidRPr="00A87F14" w:rsidRDefault="00FA33C6" w:rsidP="00D76FF8">
            <w:pPr>
              <w:rPr>
                <w:rFonts w:ascii="Calibri" w:eastAsia="Times New Roman" w:hAnsi="Calibri" w:cs="Calibri"/>
                <w:color w:val="000000"/>
              </w:rPr>
            </w:pPr>
            <w:r w:rsidRPr="00A87F14">
              <w:rPr>
                <w:rFonts w:ascii="Calibri" w:eastAsia="Times New Roman" w:hAnsi="Calibri" w:cs="Calibri"/>
                <w:color w:val="000000"/>
              </w:rPr>
              <w:t>GWS</w:t>
            </w:r>
          </w:p>
        </w:tc>
        <w:tc>
          <w:tcPr>
            <w:tcW w:w="3605" w:type="dxa"/>
            <w:noWrap/>
            <w:vAlign w:val="center"/>
            <w:hideMark/>
          </w:tcPr>
          <w:p w14:paraId="5DEA76E7" w14:textId="77777777" w:rsidR="00FA33C6" w:rsidRPr="00A87F14" w:rsidRDefault="00FA33C6" w:rsidP="00D76F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87F14">
              <w:rPr>
                <w:rFonts w:ascii="Calibri" w:eastAsia="Times New Roman" w:hAnsi="Calibri" w:cs="Calibri"/>
                <w:color w:val="000000"/>
              </w:rPr>
              <w:t>Writing and Speaking</w:t>
            </w:r>
          </w:p>
        </w:tc>
      </w:tr>
      <w:tr w:rsidR="00290733" w:rsidRPr="00A87F14" w14:paraId="6B5E46F8" w14:textId="77777777" w:rsidTr="6AECAE22">
        <w:trPr>
          <w:trHeight w:hRule="exact" w:val="472"/>
        </w:trPr>
        <w:tc>
          <w:tcPr>
            <w:cnfStyle w:val="001000000000" w:firstRow="0" w:lastRow="0" w:firstColumn="1" w:lastColumn="0" w:oddVBand="0" w:evenVBand="0" w:oddHBand="0" w:evenHBand="0" w:firstRowFirstColumn="0" w:firstRowLastColumn="0" w:lastRowFirstColumn="0" w:lastRowLastColumn="0"/>
            <w:tcW w:w="1075" w:type="dxa"/>
            <w:noWrap/>
            <w:vAlign w:val="center"/>
            <w:hideMark/>
          </w:tcPr>
          <w:p w14:paraId="6732A60D" w14:textId="77777777" w:rsidR="00FA33C6" w:rsidRPr="00A87F14" w:rsidRDefault="00FA33C6" w:rsidP="00D76FF8">
            <w:pPr>
              <w:rPr>
                <w:rFonts w:ascii="Calibri" w:eastAsia="Times New Roman" w:hAnsi="Calibri" w:cs="Calibri"/>
                <w:color w:val="000000"/>
              </w:rPr>
            </w:pPr>
            <w:r w:rsidRPr="00A87F14">
              <w:rPr>
                <w:rFonts w:ascii="Calibri" w:eastAsia="Times New Roman" w:hAnsi="Calibri" w:cs="Calibri"/>
                <w:color w:val="000000"/>
              </w:rPr>
              <w:t>GQ</w:t>
            </w:r>
          </w:p>
        </w:tc>
        <w:tc>
          <w:tcPr>
            <w:tcW w:w="3605" w:type="dxa"/>
            <w:noWrap/>
            <w:vAlign w:val="center"/>
            <w:hideMark/>
          </w:tcPr>
          <w:p w14:paraId="1D1936F6" w14:textId="77777777" w:rsidR="00FA33C6" w:rsidRPr="00A87F14" w:rsidRDefault="00FA33C6" w:rsidP="00D76F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87F14">
              <w:rPr>
                <w:rFonts w:ascii="Calibri" w:eastAsia="Times New Roman" w:hAnsi="Calibri" w:cs="Calibri"/>
                <w:color w:val="000000"/>
              </w:rPr>
              <w:t>Quantification</w:t>
            </w:r>
          </w:p>
        </w:tc>
      </w:tr>
      <w:tr w:rsidR="00FA33C6" w:rsidRPr="00A87F14" w14:paraId="65A1C71C" w14:textId="77777777" w:rsidTr="6AECAE22">
        <w:trPr>
          <w:cnfStyle w:val="000000100000" w:firstRow="0" w:lastRow="0" w:firstColumn="0" w:lastColumn="0" w:oddVBand="0" w:evenVBand="0" w:oddHBand="1" w:evenHBand="0" w:firstRowFirstColumn="0" w:firstRowLastColumn="0" w:lastRowFirstColumn="0" w:lastRowLastColumn="0"/>
          <w:trHeight w:hRule="exact" w:val="472"/>
        </w:trPr>
        <w:tc>
          <w:tcPr>
            <w:cnfStyle w:val="001000000000" w:firstRow="0" w:lastRow="0" w:firstColumn="1" w:lastColumn="0" w:oddVBand="0" w:evenVBand="0" w:oddHBand="0" w:evenHBand="0" w:firstRowFirstColumn="0" w:firstRowLastColumn="0" w:lastRowFirstColumn="0" w:lastRowLastColumn="0"/>
            <w:tcW w:w="1075" w:type="dxa"/>
            <w:noWrap/>
            <w:vAlign w:val="center"/>
            <w:hideMark/>
          </w:tcPr>
          <w:p w14:paraId="1AD57C80" w14:textId="77777777" w:rsidR="00FA33C6" w:rsidRPr="00A87F14" w:rsidRDefault="00FA33C6" w:rsidP="00D76FF8">
            <w:pPr>
              <w:rPr>
                <w:rFonts w:ascii="Calibri" w:eastAsia="Times New Roman" w:hAnsi="Calibri" w:cs="Calibri"/>
                <w:color w:val="000000"/>
              </w:rPr>
            </w:pPr>
            <w:r w:rsidRPr="00A87F14">
              <w:rPr>
                <w:rFonts w:ascii="Calibri" w:eastAsia="Times New Roman" w:hAnsi="Calibri" w:cs="Calibri"/>
                <w:color w:val="000000"/>
              </w:rPr>
              <w:t>GA</w:t>
            </w:r>
          </w:p>
        </w:tc>
        <w:tc>
          <w:tcPr>
            <w:tcW w:w="3605" w:type="dxa"/>
            <w:noWrap/>
            <w:vAlign w:val="center"/>
            <w:hideMark/>
          </w:tcPr>
          <w:p w14:paraId="0B15FD44" w14:textId="77777777" w:rsidR="00FA33C6" w:rsidRPr="00A87F14" w:rsidRDefault="00FA33C6" w:rsidP="00D76F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87F14">
              <w:rPr>
                <w:rFonts w:ascii="Calibri" w:eastAsia="Times New Roman" w:hAnsi="Calibri" w:cs="Calibri"/>
                <w:color w:val="000000"/>
              </w:rPr>
              <w:t>Arts</w:t>
            </w:r>
          </w:p>
        </w:tc>
      </w:tr>
      <w:tr w:rsidR="00290733" w:rsidRPr="00A87F14" w14:paraId="7466CD12" w14:textId="77777777" w:rsidTr="6AECAE22">
        <w:trPr>
          <w:trHeight w:hRule="exact" w:val="472"/>
        </w:trPr>
        <w:tc>
          <w:tcPr>
            <w:cnfStyle w:val="001000000000" w:firstRow="0" w:lastRow="0" w:firstColumn="1" w:lastColumn="0" w:oddVBand="0" w:evenVBand="0" w:oddHBand="0" w:evenHBand="0" w:firstRowFirstColumn="0" w:firstRowLastColumn="0" w:lastRowFirstColumn="0" w:lastRowLastColumn="0"/>
            <w:tcW w:w="1075" w:type="dxa"/>
            <w:noWrap/>
            <w:vAlign w:val="center"/>
            <w:hideMark/>
          </w:tcPr>
          <w:p w14:paraId="0A6059DD" w14:textId="77777777" w:rsidR="00FA33C6" w:rsidRPr="00A87F14" w:rsidRDefault="00FA33C6" w:rsidP="00D76FF8">
            <w:pPr>
              <w:rPr>
                <w:rFonts w:ascii="Calibri" w:eastAsia="Times New Roman" w:hAnsi="Calibri" w:cs="Calibri"/>
                <w:color w:val="000000"/>
              </w:rPr>
            </w:pPr>
            <w:r w:rsidRPr="00A87F14">
              <w:rPr>
                <w:rFonts w:ascii="Calibri" w:eastAsia="Times New Roman" w:hAnsi="Calibri" w:cs="Calibri"/>
                <w:color w:val="000000"/>
              </w:rPr>
              <w:t>GH</w:t>
            </w:r>
          </w:p>
        </w:tc>
        <w:tc>
          <w:tcPr>
            <w:tcW w:w="3605" w:type="dxa"/>
            <w:noWrap/>
            <w:vAlign w:val="center"/>
            <w:hideMark/>
          </w:tcPr>
          <w:p w14:paraId="2D641AD9" w14:textId="77777777" w:rsidR="00FA33C6" w:rsidRPr="00A87F14" w:rsidRDefault="00FA33C6" w:rsidP="00D76F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87F14">
              <w:rPr>
                <w:rFonts w:ascii="Calibri" w:eastAsia="Times New Roman" w:hAnsi="Calibri" w:cs="Calibri"/>
                <w:color w:val="000000"/>
              </w:rPr>
              <w:t>Humanities</w:t>
            </w:r>
          </w:p>
        </w:tc>
      </w:tr>
      <w:tr w:rsidR="00290733" w:rsidRPr="00A87F14" w14:paraId="5EB064F7" w14:textId="77777777" w:rsidTr="6AECAE22">
        <w:trPr>
          <w:cnfStyle w:val="000000100000" w:firstRow="0" w:lastRow="0" w:firstColumn="0" w:lastColumn="0" w:oddVBand="0" w:evenVBand="0" w:oddHBand="1" w:evenHBand="0" w:firstRowFirstColumn="0" w:firstRowLastColumn="0" w:lastRowFirstColumn="0" w:lastRowLastColumn="0"/>
          <w:trHeight w:hRule="exact" w:val="472"/>
        </w:trPr>
        <w:tc>
          <w:tcPr>
            <w:cnfStyle w:val="001000000000" w:firstRow="0" w:lastRow="0" w:firstColumn="1" w:lastColumn="0" w:oddVBand="0" w:evenVBand="0" w:oddHBand="0" w:evenHBand="0" w:firstRowFirstColumn="0" w:firstRowLastColumn="0" w:lastRowFirstColumn="0" w:lastRowLastColumn="0"/>
            <w:tcW w:w="1075" w:type="dxa"/>
            <w:noWrap/>
            <w:vAlign w:val="center"/>
            <w:hideMark/>
          </w:tcPr>
          <w:p w14:paraId="26D62E5E" w14:textId="77777777" w:rsidR="00FA33C6" w:rsidRPr="00A87F14" w:rsidRDefault="00FA33C6" w:rsidP="00D76FF8">
            <w:pPr>
              <w:rPr>
                <w:rFonts w:ascii="Calibri" w:eastAsia="Times New Roman" w:hAnsi="Calibri" w:cs="Calibri"/>
                <w:color w:val="000000"/>
              </w:rPr>
            </w:pPr>
            <w:r w:rsidRPr="00A87F14">
              <w:rPr>
                <w:rFonts w:ascii="Calibri" w:eastAsia="Times New Roman" w:hAnsi="Calibri" w:cs="Calibri"/>
                <w:color w:val="000000"/>
              </w:rPr>
              <w:t>GHW</w:t>
            </w:r>
          </w:p>
        </w:tc>
        <w:tc>
          <w:tcPr>
            <w:tcW w:w="3605" w:type="dxa"/>
            <w:noWrap/>
            <w:vAlign w:val="center"/>
            <w:hideMark/>
          </w:tcPr>
          <w:p w14:paraId="01BD8553" w14:textId="77777777" w:rsidR="00FA33C6" w:rsidRPr="00A87F14" w:rsidRDefault="00FA33C6" w:rsidP="00D76F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87F14">
              <w:rPr>
                <w:rFonts w:ascii="Calibri" w:eastAsia="Times New Roman" w:hAnsi="Calibri" w:cs="Calibri"/>
                <w:color w:val="000000"/>
              </w:rPr>
              <w:t>Health and Wellness</w:t>
            </w:r>
          </w:p>
        </w:tc>
      </w:tr>
      <w:tr w:rsidR="00290733" w:rsidRPr="00A87F14" w14:paraId="099548AB" w14:textId="77777777" w:rsidTr="6AECAE22">
        <w:trPr>
          <w:trHeight w:hRule="exact" w:val="472"/>
        </w:trPr>
        <w:tc>
          <w:tcPr>
            <w:cnfStyle w:val="001000000000" w:firstRow="0" w:lastRow="0" w:firstColumn="1" w:lastColumn="0" w:oddVBand="0" w:evenVBand="0" w:oddHBand="0" w:evenHBand="0" w:firstRowFirstColumn="0" w:firstRowLastColumn="0" w:lastRowFirstColumn="0" w:lastRowLastColumn="0"/>
            <w:tcW w:w="1075" w:type="dxa"/>
            <w:noWrap/>
            <w:vAlign w:val="center"/>
            <w:hideMark/>
          </w:tcPr>
          <w:p w14:paraId="301E5131" w14:textId="77777777" w:rsidR="00FA33C6" w:rsidRPr="00A87F14" w:rsidRDefault="00FA33C6" w:rsidP="00D76FF8">
            <w:pPr>
              <w:rPr>
                <w:rFonts w:ascii="Calibri" w:eastAsia="Times New Roman" w:hAnsi="Calibri" w:cs="Calibri"/>
                <w:color w:val="000000"/>
              </w:rPr>
            </w:pPr>
            <w:r w:rsidRPr="00A87F14">
              <w:rPr>
                <w:rFonts w:ascii="Calibri" w:eastAsia="Times New Roman" w:hAnsi="Calibri" w:cs="Calibri"/>
                <w:color w:val="000000"/>
              </w:rPr>
              <w:t>GN</w:t>
            </w:r>
          </w:p>
        </w:tc>
        <w:tc>
          <w:tcPr>
            <w:tcW w:w="3605" w:type="dxa"/>
            <w:noWrap/>
            <w:vAlign w:val="center"/>
            <w:hideMark/>
          </w:tcPr>
          <w:p w14:paraId="161DA024" w14:textId="77777777" w:rsidR="00FA33C6" w:rsidRPr="00A87F14" w:rsidRDefault="00FA33C6" w:rsidP="00D76F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87F14">
              <w:rPr>
                <w:rFonts w:ascii="Calibri" w:eastAsia="Times New Roman" w:hAnsi="Calibri" w:cs="Calibri"/>
                <w:color w:val="000000"/>
              </w:rPr>
              <w:t>Natural Sciences</w:t>
            </w:r>
          </w:p>
        </w:tc>
      </w:tr>
      <w:tr w:rsidR="00290733" w:rsidRPr="00A87F14" w14:paraId="2467A1F8" w14:textId="77777777" w:rsidTr="6AECAE22">
        <w:trPr>
          <w:cnfStyle w:val="000000100000" w:firstRow="0" w:lastRow="0" w:firstColumn="0" w:lastColumn="0" w:oddVBand="0" w:evenVBand="0" w:oddHBand="1" w:evenHBand="0" w:firstRowFirstColumn="0" w:firstRowLastColumn="0" w:lastRowFirstColumn="0" w:lastRowLastColumn="0"/>
          <w:trHeight w:hRule="exact" w:val="472"/>
        </w:trPr>
        <w:tc>
          <w:tcPr>
            <w:cnfStyle w:val="001000000000" w:firstRow="0" w:lastRow="0" w:firstColumn="1" w:lastColumn="0" w:oddVBand="0" w:evenVBand="0" w:oddHBand="0" w:evenHBand="0" w:firstRowFirstColumn="0" w:firstRowLastColumn="0" w:lastRowFirstColumn="0" w:lastRowLastColumn="0"/>
            <w:tcW w:w="1075" w:type="dxa"/>
            <w:noWrap/>
            <w:vAlign w:val="center"/>
            <w:hideMark/>
          </w:tcPr>
          <w:p w14:paraId="3F117574" w14:textId="77777777" w:rsidR="00FA33C6" w:rsidRPr="00A87F14" w:rsidRDefault="00FA33C6" w:rsidP="00D76FF8">
            <w:pPr>
              <w:rPr>
                <w:rFonts w:ascii="Calibri" w:eastAsia="Times New Roman" w:hAnsi="Calibri" w:cs="Calibri"/>
                <w:color w:val="000000"/>
              </w:rPr>
            </w:pPr>
            <w:r w:rsidRPr="00A87F14">
              <w:rPr>
                <w:rFonts w:ascii="Calibri" w:eastAsia="Times New Roman" w:hAnsi="Calibri" w:cs="Calibri"/>
                <w:color w:val="000000"/>
              </w:rPr>
              <w:t>GS</w:t>
            </w:r>
          </w:p>
        </w:tc>
        <w:tc>
          <w:tcPr>
            <w:tcW w:w="3605" w:type="dxa"/>
            <w:noWrap/>
            <w:vAlign w:val="center"/>
            <w:hideMark/>
          </w:tcPr>
          <w:p w14:paraId="1BD3B8DC" w14:textId="77777777" w:rsidR="00FA33C6" w:rsidRPr="00A87F14" w:rsidRDefault="00FA33C6" w:rsidP="00D76F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87F14">
              <w:rPr>
                <w:rFonts w:ascii="Calibri" w:eastAsia="Times New Roman" w:hAnsi="Calibri" w:cs="Calibri"/>
                <w:color w:val="000000"/>
              </w:rPr>
              <w:t>Social and Behavioral Sciences</w:t>
            </w:r>
          </w:p>
        </w:tc>
      </w:tr>
    </w:tbl>
    <w:p w14:paraId="086496D6" w14:textId="6F9A9519" w:rsidR="009B18C9" w:rsidRDefault="009B18C9" w:rsidP="00661312"/>
    <w:p w14:paraId="77D0B48A" w14:textId="67087043" w:rsidR="00571C2A" w:rsidRPr="0028599B" w:rsidRDefault="64B248F4" w:rsidP="0041194C">
      <w:pPr>
        <w:rPr>
          <w:b/>
          <w:bCs/>
        </w:rPr>
      </w:pPr>
      <w:r>
        <w:t xml:space="preserve">Well-represented </w:t>
      </w:r>
      <w:r w:rsidR="4DD5488C">
        <w:t>domains</w:t>
      </w:r>
      <w:r w:rsidR="14D182BC">
        <w:t xml:space="preserve"> (e.g., </w:t>
      </w:r>
      <w:r w:rsidR="276B1173">
        <w:t>Writing and Speaking</w:t>
      </w:r>
      <w:r w:rsidR="14D182BC">
        <w:t>)</w:t>
      </w:r>
      <w:r w:rsidR="4DD5488C">
        <w:t xml:space="preserve"> </w:t>
      </w:r>
      <w:r w:rsidR="37CEB786">
        <w:t xml:space="preserve">tend to show consistent scoring across all three criteria. </w:t>
      </w:r>
      <w:r w:rsidR="4DD5488C">
        <w:t xml:space="preserve">Domains </w:t>
      </w:r>
      <w:r w:rsidR="75CF35DB">
        <w:t>with</w:t>
      </w:r>
      <w:r w:rsidR="0811BFBA">
        <w:t xml:space="preserve"> scores from</w:t>
      </w:r>
      <w:r w:rsidR="75CF35DB">
        <w:t xml:space="preserve"> fewer </w:t>
      </w:r>
      <w:r w:rsidR="1F5B895F">
        <w:t xml:space="preserve">than five </w:t>
      </w:r>
      <w:r w:rsidR="0C77E820">
        <w:t xml:space="preserve">course sections </w:t>
      </w:r>
      <w:r w:rsidR="75CF35DB">
        <w:t xml:space="preserve">d </w:t>
      </w:r>
      <w:r w:rsidR="6B4D5AD0">
        <w:t>were excluded</w:t>
      </w:r>
      <w:r w:rsidR="3EA71D11">
        <w:t>.</w:t>
      </w:r>
      <w:r w:rsidR="4A4FE4CF">
        <w:t xml:space="preserve"> </w:t>
      </w:r>
      <w:r w:rsidR="63D9FA68">
        <w:t>The</w:t>
      </w:r>
      <w:r w:rsidR="00685F61">
        <w:t xml:space="preserve"> </w:t>
      </w:r>
      <w:r w:rsidR="4A4FE4CF">
        <w:t>small samples size</w:t>
      </w:r>
      <w:r w:rsidR="01A1B3ED">
        <w:t xml:space="preserve"> showed </w:t>
      </w:r>
      <w:r w:rsidR="4AF78A0B">
        <w:t xml:space="preserve">greater </w:t>
      </w:r>
      <w:r w:rsidR="308DE4CF">
        <w:t>variation in the proportion of students</w:t>
      </w:r>
      <w:r w:rsidR="5FB1169D">
        <w:t xml:space="preserve"> at each proficiency level</w:t>
      </w:r>
      <w:r w:rsidR="4CBDA553">
        <w:t xml:space="preserve"> (</w:t>
      </w:r>
      <w:r>
        <w:fldChar w:fldCharType="begin"/>
      </w:r>
      <w:r>
        <w:instrText xml:space="preserve"> REF _Ref111815462 \h </w:instrText>
      </w:r>
      <w:r>
        <w:fldChar w:fldCharType="separate"/>
      </w:r>
      <w:r w:rsidR="009F3382" w:rsidRPr="00EE0F1A">
        <w:rPr>
          <w:b/>
          <w:bCs/>
        </w:rPr>
        <w:t xml:space="preserve">Figure </w:t>
      </w:r>
      <w:r w:rsidR="009F3382">
        <w:rPr>
          <w:b/>
          <w:bCs/>
          <w:noProof/>
        </w:rPr>
        <w:t>5</w:t>
      </w:r>
      <w:r>
        <w:fldChar w:fldCharType="end"/>
      </w:r>
      <w:r w:rsidR="4CBDA553">
        <w:t xml:space="preserve">, </w:t>
      </w:r>
      <w:r>
        <w:fldChar w:fldCharType="begin"/>
      </w:r>
      <w:r>
        <w:instrText xml:space="preserve"> REF _Ref111815464 \h </w:instrText>
      </w:r>
      <w:r>
        <w:fldChar w:fldCharType="separate"/>
      </w:r>
      <w:r w:rsidR="009F3382" w:rsidRPr="00EE0F1A">
        <w:rPr>
          <w:b/>
          <w:bCs/>
        </w:rPr>
        <w:t xml:space="preserve">Figure </w:t>
      </w:r>
      <w:r w:rsidR="009F3382">
        <w:rPr>
          <w:b/>
          <w:bCs/>
          <w:noProof/>
        </w:rPr>
        <w:t>6</w:t>
      </w:r>
      <w:r>
        <w:fldChar w:fldCharType="end"/>
      </w:r>
      <w:r w:rsidR="4CBDA553">
        <w:t xml:space="preserve">, and </w:t>
      </w:r>
      <w:r>
        <w:fldChar w:fldCharType="begin"/>
      </w:r>
      <w:r>
        <w:instrText xml:space="preserve"> REF _Ref111815466 \h </w:instrText>
      </w:r>
      <w:r>
        <w:fldChar w:fldCharType="separate"/>
      </w:r>
      <w:r w:rsidR="009F3382" w:rsidRPr="00EE0F1A">
        <w:rPr>
          <w:b/>
          <w:bCs/>
        </w:rPr>
        <w:t xml:space="preserve">Figure </w:t>
      </w:r>
      <w:r w:rsidR="009F3382">
        <w:rPr>
          <w:b/>
          <w:bCs/>
          <w:noProof/>
        </w:rPr>
        <w:t>7</w:t>
      </w:r>
      <w:r>
        <w:fldChar w:fldCharType="end"/>
      </w:r>
      <w:r w:rsidR="4CBDA553">
        <w:t>)</w:t>
      </w:r>
      <w:r w:rsidR="5FB1169D">
        <w:t>.</w:t>
      </w:r>
      <w:r w:rsidR="417F899E">
        <w:t xml:space="preserve"> </w:t>
      </w:r>
      <w:r w:rsidR="6C5C5B0A">
        <w:t>Chi-square analysis across levels suggests that no</w:t>
      </w:r>
      <w:r w:rsidR="00913345">
        <w:t xml:space="preserve"> statistically</w:t>
      </w:r>
      <w:r w:rsidR="6C5C5B0A">
        <w:t xml:space="preserve"> significant differences in proficiency exists between </w:t>
      </w:r>
      <w:r w:rsidR="05C54BAC">
        <w:t>domains</w:t>
      </w:r>
      <w:r w:rsidR="0034171A">
        <w:t>, however the large effect size within each criteri</w:t>
      </w:r>
      <w:r w:rsidR="00BF2252">
        <w:t>on</w:t>
      </w:r>
      <w:r w:rsidR="0034171A">
        <w:t xml:space="preserve"> (Cohen’s w: </w:t>
      </w:r>
      <w:r w:rsidR="007F034D">
        <w:t xml:space="preserve">0.83, 0.79, and 0.64) </w:t>
      </w:r>
      <w:r w:rsidR="00BE041B">
        <w:t>suggests that this is worth monitoring in the future</w:t>
      </w:r>
      <w:r w:rsidR="6C5C5B0A">
        <w:t>. This holds true across all three criteria</w:t>
      </w:r>
      <w:r w:rsidR="005F5FE1">
        <w:t xml:space="preserve"> suggesting that </w:t>
      </w:r>
      <w:r w:rsidR="00EC59E9">
        <w:t>instructors</w:t>
      </w:r>
      <w:r w:rsidR="005F5FE1">
        <w:t xml:space="preserve"> assess based on the content and structure of their courses and students are meeting the criteria </w:t>
      </w:r>
      <w:r w:rsidR="6D8E007B">
        <w:t xml:space="preserve">at the same proportion </w:t>
      </w:r>
      <w:r w:rsidR="005F5FE1">
        <w:t xml:space="preserve">regardless of the domain area in which they receive instruction. </w:t>
      </w:r>
    </w:p>
    <w:p w14:paraId="5DDC05D6" w14:textId="005AB7EE" w:rsidR="009440B4" w:rsidRDefault="009440B4" w:rsidP="009440B4">
      <w:pPr>
        <w:pStyle w:val="Caption"/>
      </w:pPr>
      <w:bookmarkStart w:id="6" w:name="_Ref111815462"/>
      <w:bookmarkStart w:id="7" w:name="_Ref111815458"/>
      <w:r w:rsidRPr="00EE0F1A">
        <w:rPr>
          <w:b/>
          <w:bCs/>
        </w:rPr>
        <w:t xml:space="preserve">Figure </w:t>
      </w:r>
      <w:r w:rsidRPr="00EE0F1A">
        <w:rPr>
          <w:b/>
          <w:bCs/>
        </w:rPr>
        <w:fldChar w:fldCharType="begin"/>
      </w:r>
      <w:r w:rsidRPr="00EE0F1A">
        <w:rPr>
          <w:b/>
          <w:bCs/>
        </w:rPr>
        <w:instrText xml:space="preserve"> SEQ Figure \* ARABIC </w:instrText>
      </w:r>
      <w:r w:rsidRPr="00EE0F1A">
        <w:rPr>
          <w:b/>
          <w:bCs/>
        </w:rPr>
        <w:fldChar w:fldCharType="separate"/>
      </w:r>
      <w:r w:rsidR="009F3382">
        <w:rPr>
          <w:b/>
          <w:bCs/>
          <w:noProof/>
        </w:rPr>
        <w:t>5</w:t>
      </w:r>
      <w:r w:rsidRPr="00EE0F1A">
        <w:rPr>
          <w:b/>
          <w:bCs/>
        </w:rPr>
        <w:fldChar w:fldCharType="end"/>
      </w:r>
      <w:bookmarkEnd w:id="6"/>
      <w:r w:rsidRPr="00EE0F1A">
        <w:rPr>
          <w:b/>
          <w:bCs/>
        </w:rPr>
        <w:t>.</w:t>
      </w:r>
      <w:r>
        <w:t xml:space="preserve"> Proficiency based on domain for substance.</w:t>
      </w:r>
      <w:bookmarkEnd w:id="7"/>
    </w:p>
    <w:p w14:paraId="36F0F57D" w14:textId="34315FE4" w:rsidR="00B6750A" w:rsidRDefault="008A619B" w:rsidP="00351CAD">
      <w:pPr>
        <w:jc w:val="center"/>
      </w:pPr>
      <w:r>
        <w:rPr>
          <w:noProof/>
        </w:rPr>
        <w:drawing>
          <wp:inline distT="0" distB="0" distL="0" distR="0" wp14:anchorId="7BFFCEE7" wp14:editId="58EACFDF">
            <wp:extent cx="4572000" cy="2823178"/>
            <wp:effectExtent l="0" t="0" r="0" b="0"/>
            <wp:docPr id="2" name="Picture 1" descr="Bar graph showing students proficiency for the Substance criteria across domains. While there is some variation between domains ranging from 39% Exemplary in GN courses to 57% Exemplary in GS courses, Chi-square analysis does not reveal any significant dif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r graph showing students proficiency for the Substance criteria across domains. While there is some variation between domains ranging from 39% Exemplary in GN courses to 57% Exemplary in GS courses, Chi-square analysis does not reveal any significant differenc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2823178"/>
                    </a:xfrm>
                    <a:prstGeom prst="rect">
                      <a:avLst/>
                    </a:prstGeom>
                    <a:noFill/>
                  </pic:spPr>
                </pic:pic>
              </a:graphicData>
            </a:graphic>
          </wp:inline>
        </w:drawing>
      </w:r>
    </w:p>
    <w:p w14:paraId="0BC830F7" w14:textId="65352EB6" w:rsidR="009440B4" w:rsidRDefault="009440B4" w:rsidP="009440B4">
      <w:pPr>
        <w:pStyle w:val="Caption"/>
      </w:pPr>
      <w:bookmarkStart w:id="8" w:name="_Ref111815464"/>
      <w:r w:rsidRPr="00EE0F1A">
        <w:rPr>
          <w:b/>
          <w:bCs/>
        </w:rPr>
        <w:t xml:space="preserve">Figure </w:t>
      </w:r>
      <w:r w:rsidRPr="00EE0F1A">
        <w:rPr>
          <w:b/>
          <w:bCs/>
        </w:rPr>
        <w:fldChar w:fldCharType="begin"/>
      </w:r>
      <w:r w:rsidRPr="00EE0F1A">
        <w:rPr>
          <w:b/>
          <w:bCs/>
        </w:rPr>
        <w:instrText xml:space="preserve"> SEQ Figure \* ARABIC </w:instrText>
      </w:r>
      <w:r w:rsidRPr="00EE0F1A">
        <w:rPr>
          <w:b/>
          <w:bCs/>
        </w:rPr>
        <w:fldChar w:fldCharType="separate"/>
      </w:r>
      <w:r w:rsidR="009F3382">
        <w:rPr>
          <w:b/>
          <w:bCs/>
          <w:noProof/>
        </w:rPr>
        <w:t>6</w:t>
      </w:r>
      <w:r w:rsidRPr="00EE0F1A">
        <w:rPr>
          <w:b/>
          <w:bCs/>
        </w:rPr>
        <w:fldChar w:fldCharType="end"/>
      </w:r>
      <w:bookmarkEnd w:id="8"/>
      <w:r w:rsidRPr="00EE0F1A">
        <w:rPr>
          <w:b/>
          <w:bCs/>
        </w:rPr>
        <w:t>.</w:t>
      </w:r>
      <w:r>
        <w:t xml:space="preserve"> Proficiency based on domain for delivery.</w:t>
      </w:r>
    </w:p>
    <w:p w14:paraId="0F690FDA" w14:textId="22412F60" w:rsidR="00D76FF8" w:rsidRPr="008D0F3A" w:rsidRDefault="00C71CF8" w:rsidP="008D0F3A">
      <w:pPr>
        <w:jc w:val="center"/>
      </w:pPr>
      <w:r>
        <w:rPr>
          <w:noProof/>
        </w:rPr>
        <w:drawing>
          <wp:inline distT="0" distB="0" distL="0" distR="0" wp14:anchorId="1C01232F" wp14:editId="17D7967D">
            <wp:extent cx="4572000" cy="2849912"/>
            <wp:effectExtent l="0" t="0" r="0" b="7620"/>
            <wp:docPr id="4" name="Picture 2" descr="Bar graph showing students proficiency for the Delivery criteria across domains. While there is some variation between domains ranging from 35% Exemplary in GS courses to 52% Exemplary in GA courses, Chi-square analysis does not reveal any significant dif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r graph showing students proficiency for the Delivery criteria across domains. While there is some variation between domains ranging from 35% Exemplary in GS courses to 52% Exemplary in GA courses, Chi-square analysis does not reveal any significant differenc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2849912"/>
                    </a:xfrm>
                    <a:prstGeom prst="rect">
                      <a:avLst/>
                    </a:prstGeom>
                    <a:noFill/>
                  </pic:spPr>
                </pic:pic>
              </a:graphicData>
            </a:graphic>
          </wp:inline>
        </w:drawing>
      </w:r>
      <w:bookmarkStart w:id="9" w:name="_Ref111815466"/>
    </w:p>
    <w:p w14:paraId="1352B17E" w14:textId="186AB1BB" w:rsidR="009440B4" w:rsidRDefault="009440B4" w:rsidP="009440B4">
      <w:pPr>
        <w:pStyle w:val="Caption"/>
      </w:pPr>
      <w:r w:rsidRPr="00EE0F1A">
        <w:rPr>
          <w:b/>
          <w:bCs/>
        </w:rPr>
        <w:t xml:space="preserve">Figure </w:t>
      </w:r>
      <w:r w:rsidRPr="00EE0F1A">
        <w:rPr>
          <w:b/>
          <w:bCs/>
        </w:rPr>
        <w:fldChar w:fldCharType="begin"/>
      </w:r>
      <w:r w:rsidRPr="00EE0F1A">
        <w:rPr>
          <w:b/>
          <w:bCs/>
        </w:rPr>
        <w:instrText xml:space="preserve"> SEQ Figure \* ARABIC </w:instrText>
      </w:r>
      <w:r w:rsidRPr="00EE0F1A">
        <w:rPr>
          <w:b/>
          <w:bCs/>
        </w:rPr>
        <w:fldChar w:fldCharType="separate"/>
      </w:r>
      <w:r w:rsidR="009F3382">
        <w:rPr>
          <w:b/>
          <w:bCs/>
          <w:noProof/>
        </w:rPr>
        <w:t>7</w:t>
      </w:r>
      <w:r w:rsidRPr="00EE0F1A">
        <w:rPr>
          <w:b/>
          <w:bCs/>
        </w:rPr>
        <w:fldChar w:fldCharType="end"/>
      </w:r>
      <w:bookmarkEnd w:id="9"/>
      <w:r w:rsidRPr="00EE0F1A">
        <w:rPr>
          <w:b/>
          <w:bCs/>
        </w:rPr>
        <w:t>.</w:t>
      </w:r>
      <w:r>
        <w:t xml:space="preserve"> Proficiency based on domain for adaptation to audience.</w:t>
      </w:r>
    </w:p>
    <w:p w14:paraId="59172846" w14:textId="4BF0A84D" w:rsidR="00EA3226" w:rsidRDefault="00EA3226" w:rsidP="00B6750A">
      <w:pPr>
        <w:jc w:val="center"/>
      </w:pPr>
      <w:r>
        <w:rPr>
          <w:noProof/>
        </w:rPr>
        <w:drawing>
          <wp:inline distT="0" distB="0" distL="0" distR="0" wp14:anchorId="51CD4D9F" wp14:editId="2929A437">
            <wp:extent cx="4190429" cy="2631057"/>
            <wp:effectExtent l="0" t="0" r="635" b="0"/>
            <wp:docPr id="5" name="Picture 3" descr="Bar graph showing students proficiency for the Adaptation to Audience criteria across domains. While there is some variation between domains ranging from 40% Exemplary in GS courses to 52% Exemplary in GH courses, Chi-square analysis does not reveal any significant dif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r graph showing students proficiency for the Adaptation to Audience criteria across domains. While there is some variation between domains ranging from 40% Exemplary in GS courses to 52% Exemplary in GH courses, Chi-square analysis does not reveal any significant differenc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0429" cy="2631057"/>
                    </a:xfrm>
                    <a:prstGeom prst="rect">
                      <a:avLst/>
                    </a:prstGeom>
                    <a:noFill/>
                  </pic:spPr>
                </pic:pic>
              </a:graphicData>
            </a:graphic>
          </wp:inline>
        </w:drawing>
      </w:r>
    </w:p>
    <w:p w14:paraId="7BC1C615" w14:textId="53D90944" w:rsidR="00593AAB" w:rsidRDefault="00593AAB" w:rsidP="002053A0">
      <w:pPr>
        <w:pStyle w:val="Heading1"/>
      </w:pPr>
      <w:r>
        <w:t>Limitations</w:t>
      </w:r>
    </w:p>
    <w:p w14:paraId="54835E5D" w14:textId="60AC5224" w:rsidR="00034B96" w:rsidRDefault="00EF6884" w:rsidP="00593AAB">
      <w:r>
        <w:t>Because we prioritized minimizing instructor effort</w:t>
      </w:r>
      <w:r w:rsidR="00F341EF">
        <w:t xml:space="preserve">, </w:t>
      </w:r>
      <w:r w:rsidR="00C86EA3">
        <w:t>we cannot establish interrater reliability for the submitted scores</w:t>
      </w:r>
      <w:r w:rsidR="003D00D2">
        <w:t xml:space="preserve"> or speak to how </w:t>
      </w:r>
      <w:r w:rsidR="00EC59E9">
        <w:t>instructors</w:t>
      </w:r>
      <w:r w:rsidR="003D00D2">
        <w:t xml:space="preserve"> interpreted the rubric</w:t>
      </w:r>
      <w:r w:rsidR="00C86EA3">
        <w:t xml:space="preserve">. </w:t>
      </w:r>
      <w:r w:rsidR="00C5631C">
        <w:t xml:space="preserve">While this is a weakness in the assessment approach, </w:t>
      </w:r>
      <w:r w:rsidR="00735D43">
        <w:t xml:space="preserve">we consider it an acceptable limitation </w:t>
      </w:r>
      <w:r w:rsidR="00034B96">
        <w:t>for the following reasons.</w:t>
      </w:r>
    </w:p>
    <w:p w14:paraId="2A4A3034" w14:textId="72842EC5" w:rsidR="001F3FC1" w:rsidRDefault="00750C80" w:rsidP="00034B96">
      <w:pPr>
        <w:pStyle w:val="ListParagraph"/>
        <w:numPr>
          <w:ilvl w:val="0"/>
          <w:numId w:val="8"/>
        </w:numPr>
      </w:pPr>
      <w:r>
        <w:t xml:space="preserve">The rubrics were carefully crafted with specific </w:t>
      </w:r>
      <w:r w:rsidR="001F3FC1">
        <w:t>descriptions</w:t>
      </w:r>
      <w:r>
        <w:t xml:space="preserve"> of each criteri</w:t>
      </w:r>
      <w:r w:rsidR="001F3FC1">
        <w:t>on</w:t>
      </w:r>
      <w:r>
        <w:t xml:space="preserve"> and performance level</w:t>
      </w:r>
      <w:r w:rsidR="001F3FC1">
        <w:t>.</w:t>
      </w:r>
    </w:p>
    <w:p w14:paraId="494F4B37" w14:textId="77777777" w:rsidR="00F26E09" w:rsidRDefault="00034B96" w:rsidP="00F26E09">
      <w:pPr>
        <w:pStyle w:val="ListParagraph"/>
        <w:numPr>
          <w:ilvl w:val="0"/>
          <w:numId w:val="8"/>
        </w:numPr>
      </w:pPr>
      <w:r>
        <w:t>Th</w:t>
      </w:r>
      <w:r w:rsidR="00A23ED6">
        <w:t xml:space="preserve">e </w:t>
      </w:r>
      <w:r w:rsidR="00C5631C">
        <w:t>large</w:t>
      </w:r>
      <w:r w:rsidR="0038139F">
        <w:t xml:space="preserve"> sample </w:t>
      </w:r>
      <w:r w:rsidR="00A23ED6">
        <w:t xml:space="preserve">size mitigates </w:t>
      </w:r>
      <w:r>
        <w:t>the</w:t>
      </w:r>
      <w:r w:rsidR="00A23ED6">
        <w:t xml:space="preserve"> impact </w:t>
      </w:r>
      <w:r>
        <w:t>of individual instructor variability.</w:t>
      </w:r>
    </w:p>
    <w:p w14:paraId="4845566F" w14:textId="7777C862" w:rsidR="00593AAB" w:rsidRDefault="00750C80" w:rsidP="00F26E09">
      <w:pPr>
        <w:pStyle w:val="ListParagraph"/>
        <w:numPr>
          <w:ilvl w:val="0"/>
          <w:numId w:val="8"/>
        </w:numPr>
      </w:pPr>
      <w:r>
        <w:t>Th</w:t>
      </w:r>
      <w:r w:rsidR="00FE2BD4">
        <w:t xml:space="preserve">is approach is fundamental to our ability to collect this data. </w:t>
      </w:r>
    </w:p>
    <w:p w14:paraId="15CA7E4B" w14:textId="68395D6B" w:rsidR="0047440D" w:rsidRDefault="002053A0" w:rsidP="002053A0">
      <w:pPr>
        <w:pStyle w:val="Heading1"/>
      </w:pPr>
      <w:r>
        <w:t>Next Steps</w:t>
      </w:r>
    </w:p>
    <w:p w14:paraId="78252D79" w14:textId="05DDAEB3" w:rsidR="00904860" w:rsidRDefault="0FBDF188" w:rsidP="002053A0">
      <w:r>
        <w:t>General Education learning outcome assessment is a work in progress</w:t>
      </w:r>
      <w:r w:rsidR="462306A4">
        <w:t xml:space="preserve"> with the goal of providing actionable data to the General Education community</w:t>
      </w:r>
      <w:r>
        <w:t>.</w:t>
      </w:r>
      <w:r w:rsidR="675B822D">
        <w:t xml:space="preserve"> With each iteration of assessment</w:t>
      </w:r>
      <w:r w:rsidR="286FBDE1">
        <w:t>,</w:t>
      </w:r>
      <w:r w:rsidR="675B822D">
        <w:t xml:space="preserve"> we learn and adap</w:t>
      </w:r>
      <w:r w:rsidR="1FF6B5CF">
        <w:t>t our methods</w:t>
      </w:r>
      <w:r w:rsidR="462306A4">
        <w:t xml:space="preserve">. </w:t>
      </w:r>
      <w:r w:rsidR="00313698">
        <w:t xml:space="preserve">The general education learning outcome assessment process was first developed in </w:t>
      </w:r>
      <w:r w:rsidR="00987316">
        <w:t>201</w:t>
      </w:r>
      <w:r w:rsidR="00DA6B8B">
        <w:t>9</w:t>
      </w:r>
      <w:r w:rsidR="004632DC">
        <w:t xml:space="preserve"> with Integrative Thinking. In addition to asking </w:t>
      </w:r>
      <w:r w:rsidR="00F40203">
        <w:t>instructors</w:t>
      </w:r>
      <w:r w:rsidR="004632DC">
        <w:t xml:space="preserve"> to submit their aggregate rubric scores, </w:t>
      </w:r>
      <w:r w:rsidR="00EC59E9">
        <w:t>instructors</w:t>
      </w:r>
      <w:r w:rsidR="004632DC">
        <w:t xml:space="preserve"> were asked questions about their course preparation, </w:t>
      </w:r>
      <w:r w:rsidR="00952FCB">
        <w:t>the aspects of integrative thinking addressed in their courses,</w:t>
      </w:r>
      <w:r w:rsidR="00027D57">
        <w:t xml:space="preserve"> and</w:t>
      </w:r>
      <w:r w:rsidR="00952FCB">
        <w:t xml:space="preserve"> </w:t>
      </w:r>
      <w:r w:rsidR="00027D57">
        <w:t xml:space="preserve">the assignment used for the study. Based on participant feedback, the questionnaire was </w:t>
      </w:r>
      <w:r w:rsidR="00DA6B8B">
        <w:t xml:space="preserve">pared back significantly in 2020-21 for use on Effective Learning. </w:t>
      </w:r>
      <w:r w:rsidR="00F40203">
        <w:t xml:space="preserve">In order to minimize the effort needed to participate in the study, instructors were only asked to submit their aggregate scores. </w:t>
      </w:r>
      <w:r w:rsidR="009049E8">
        <w:t xml:space="preserve">While more efficient for participants, this approach </w:t>
      </w:r>
      <w:r w:rsidR="001A36B0">
        <w:t xml:space="preserve">failed to provide </w:t>
      </w:r>
      <w:r w:rsidR="00F12AD5">
        <w:t xml:space="preserve">important </w:t>
      </w:r>
      <w:r w:rsidR="001A36B0">
        <w:t xml:space="preserve">context for the findings reported. </w:t>
      </w:r>
    </w:p>
    <w:p w14:paraId="67CBA590" w14:textId="49D07070" w:rsidR="00035C23" w:rsidRDefault="7AF19E59" w:rsidP="002053A0">
      <w:r>
        <w:t xml:space="preserve">To </w:t>
      </w:r>
      <w:r w:rsidR="004E076C">
        <w:t xml:space="preserve">further </w:t>
      </w:r>
      <w:r>
        <w:t xml:space="preserve">advance our understanding of General Education </w:t>
      </w:r>
      <w:r w:rsidR="7E3C0EF5">
        <w:t xml:space="preserve">outcomes, the Joint Committee on General Education Assessment has established several questions to guide their </w:t>
      </w:r>
      <w:r w:rsidR="00796942">
        <w:t xml:space="preserve">learning outcomes </w:t>
      </w:r>
      <w:r w:rsidR="7E3C0EF5">
        <w:t>work</w:t>
      </w:r>
      <w:r w:rsidR="31131C15">
        <w:t xml:space="preserve"> in 2022-2023. </w:t>
      </w:r>
    </w:p>
    <w:p w14:paraId="17D786E6" w14:textId="77777777" w:rsidR="008E3656" w:rsidRDefault="008E68CA" w:rsidP="00035C23">
      <w:pPr>
        <w:pStyle w:val="ListParagraph"/>
        <w:numPr>
          <w:ilvl w:val="0"/>
          <w:numId w:val="2"/>
        </w:numPr>
      </w:pPr>
      <w:r>
        <w:t xml:space="preserve">Should all general education courses, regardless of </w:t>
      </w:r>
      <w:r w:rsidR="00782A0B">
        <w:t xml:space="preserve">course </w:t>
      </w:r>
      <w:r>
        <w:t xml:space="preserve">level, be expected to achieve the same </w:t>
      </w:r>
      <w:r w:rsidR="00C90C55">
        <w:t xml:space="preserve">level of student performance on the appropriate learning outcomes? </w:t>
      </w:r>
    </w:p>
    <w:p w14:paraId="65885095" w14:textId="309B2119" w:rsidR="00720B50" w:rsidRDefault="00085BF4" w:rsidP="00035C23">
      <w:pPr>
        <w:pStyle w:val="ListParagraph"/>
        <w:numPr>
          <w:ilvl w:val="0"/>
          <w:numId w:val="2"/>
        </w:numPr>
      </w:pPr>
      <w:r>
        <w:t xml:space="preserve">What is an acceptable performance target (or targets if we identify </w:t>
      </w:r>
      <w:r w:rsidR="004659D1">
        <w:t xml:space="preserve">differential standards based on course level)? In other words, what </w:t>
      </w:r>
      <w:r>
        <w:t xml:space="preserve"> </w:t>
      </w:r>
      <w:r w:rsidR="004659D1">
        <w:t xml:space="preserve">is an </w:t>
      </w:r>
      <w:r w:rsidR="008E3656">
        <w:t>acceptable ratio of developing/satisfactory/</w:t>
      </w:r>
      <w:r w:rsidR="0089713D">
        <w:br/>
      </w:r>
      <w:r w:rsidR="008E3656">
        <w:t>exemplary scores</w:t>
      </w:r>
      <w:r w:rsidR="0089713D">
        <w:t>?</w:t>
      </w:r>
    </w:p>
    <w:p w14:paraId="4FDB2597" w14:textId="3605236B" w:rsidR="00760529" w:rsidRDefault="00720B50" w:rsidP="00035C23">
      <w:pPr>
        <w:pStyle w:val="ListParagraph"/>
        <w:numPr>
          <w:ilvl w:val="0"/>
          <w:numId w:val="2"/>
        </w:numPr>
      </w:pPr>
      <w:r>
        <w:t xml:space="preserve">How might these choices </w:t>
      </w:r>
      <w:r w:rsidR="00A11FF5">
        <w:t>impact our assessment efforts</w:t>
      </w:r>
      <w:r w:rsidR="00AC5AFA">
        <w:t>?</w:t>
      </w:r>
      <w:r w:rsidR="001B36C0">
        <w:t xml:space="preserve"> How might </w:t>
      </w:r>
      <w:r>
        <w:t>they</w:t>
      </w:r>
      <w:r w:rsidR="001B36C0">
        <w:t xml:space="preserve"> impact our support for </w:t>
      </w:r>
      <w:r w:rsidR="00B6555C">
        <w:t>G</w:t>
      </w:r>
      <w:r w:rsidR="001B36C0">
        <w:t xml:space="preserve">eneral </w:t>
      </w:r>
      <w:r w:rsidR="00B6555C">
        <w:t>E</w:t>
      </w:r>
      <w:r w:rsidR="001B36C0">
        <w:t>ducation</w:t>
      </w:r>
      <w:r w:rsidR="002C2F00">
        <w:t xml:space="preserve"> instruction</w:t>
      </w:r>
      <w:r w:rsidR="001B36C0">
        <w:t xml:space="preserve">? </w:t>
      </w:r>
    </w:p>
    <w:p w14:paraId="4BB2AFB1" w14:textId="764DD946" w:rsidR="00487FF7" w:rsidRDefault="00192E42" w:rsidP="00487FF7">
      <w:r>
        <w:t xml:space="preserve">The Global Learning and Creative Thinking general education learning outcomes have been identified for assessment in 2022-23 using the same approach described here. Based on our experience assessing Integrative Thinking and Effective Communication, however, the data collection instruments have been modified to include fundamental information about the assignments scored and to collect information about the performance levels expected by </w:t>
      </w:r>
      <w:r w:rsidR="00EC59E9">
        <w:t>instructors</w:t>
      </w:r>
      <w:r>
        <w:t xml:space="preserve"> in the selected courses. We anticipate that this change will have minimal impact on the amount of time it takes instructors to participate in the study, while providing important context for the reported scores and more actionable data moving forward.</w:t>
      </w:r>
    </w:p>
    <w:p w14:paraId="7266421D" w14:textId="58035403" w:rsidR="00487FF7" w:rsidRDefault="00487FF7">
      <w:r>
        <w:br w:type="page"/>
      </w:r>
    </w:p>
    <w:p w14:paraId="23361469" w14:textId="66CDF674" w:rsidR="00487FF7" w:rsidRDefault="00487FF7" w:rsidP="00487FF7">
      <w:pPr>
        <w:pStyle w:val="Heading1"/>
      </w:pPr>
      <w:bookmarkStart w:id="10" w:name="_Appendix"/>
      <w:bookmarkEnd w:id="10"/>
      <w:r>
        <w:t>Appendix</w:t>
      </w:r>
    </w:p>
    <w:p w14:paraId="5488578A" w14:textId="3EF06638" w:rsidR="00673D9B" w:rsidRDefault="00391BE1" w:rsidP="00487FF7">
      <w:r>
        <w:t>Effective Communication Rubric</w:t>
      </w:r>
    </w:p>
    <w:p w14:paraId="356337BD" w14:textId="77777777" w:rsidR="00391BE1" w:rsidRDefault="00391BE1" w:rsidP="00391BE1">
      <w:pPr>
        <w:pStyle w:val="NoSpacing"/>
        <w:rPr>
          <w:b/>
          <w:bCs/>
        </w:rPr>
      </w:pPr>
    </w:p>
    <w:tbl>
      <w:tblPr>
        <w:tblpPr w:leftFromText="180" w:rightFromText="180" w:bottomFromText="160" w:vertAnchor="page" w:horzAnchor="margin" w:tblpY="4600"/>
        <w:tblW w:w="5000" w:type="pct"/>
        <w:tblCellMar>
          <w:left w:w="0" w:type="dxa"/>
          <w:right w:w="0" w:type="dxa"/>
        </w:tblCellMar>
        <w:tblLook w:val="0600" w:firstRow="0" w:lastRow="0" w:firstColumn="0" w:lastColumn="0" w:noHBand="1" w:noVBand="1"/>
      </w:tblPr>
      <w:tblGrid>
        <w:gridCol w:w="2321"/>
        <w:gridCol w:w="2341"/>
        <w:gridCol w:w="2328"/>
        <w:gridCol w:w="2350"/>
      </w:tblGrid>
      <w:tr w:rsidR="008E25C4" w:rsidRPr="00391BE1" w14:paraId="55EE09ED" w14:textId="77777777" w:rsidTr="008E25C4">
        <w:trPr>
          <w:trHeight w:val="27"/>
        </w:trPr>
        <w:tc>
          <w:tcPr>
            <w:tcW w:w="1243" w:type="pct"/>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6965AA28" w14:textId="77777777" w:rsidR="008E25C4" w:rsidRPr="00391BE1" w:rsidRDefault="008E25C4" w:rsidP="008E25C4">
            <w:pPr>
              <w:spacing w:after="0" w:line="254" w:lineRule="auto"/>
              <w:rPr>
                <w:rFonts w:eastAsia="Times New Roman" w:cstheme="minorHAnsi"/>
                <w:sz w:val="20"/>
                <w:szCs w:val="20"/>
              </w:rPr>
            </w:pPr>
            <w:r w:rsidRPr="00391BE1">
              <w:rPr>
                <w:rFonts w:eastAsia="Times New Roman" w:cstheme="minorHAnsi"/>
                <w:b/>
                <w:bCs/>
                <w:kern w:val="3"/>
                <w:sz w:val="20"/>
                <w:szCs w:val="20"/>
                <w:lang w:val="ru-RU"/>
              </w:rPr>
              <w:t>Criterion</w:t>
            </w:r>
          </w:p>
        </w:tc>
        <w:tc>
          <w:tcPr>
            <w:tcW w:w="1253" w:type="pct"/>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7C3DB8F0" w14:textId="48480464" w:rsidR="008E25C4" w:rsidRPr="00391BE1" w:rsidRDefault="008E25C4" w:rsidP="008E25C4">
            <w:pPr>
              <w:spacing w:after="0" w:line="254" w:lineRule="auto"/>
              <w:jc w:val="center"/>
              <w:rPr>
                <w:rFonts w:eastAsia="Times New Roman" w:cstheme="minorHAnsi"/>
                <w:sz w:val="20"/>
                <w:szCs w:val="20"/>
              </w:rPr>
            </w:pPr>
            <w:r w:rsidRPr="00391BE1">
              <w:rPr>
                <w:rFonts w:eastAsia="Times New Roman" w:cstheme="minorHAnsi"/>
                <w:b/>
                <w:bCs/>
                <w:kern w:val="3"/>
                <w:sz w:val="20"/>
                <w:szCs w:val="20"/>
              </w:rPr>
              <w:t>Developing</w:t>
            </w:r>
          </w:p>
        </w:tc>
        <w:tc>
          <w:tcPr>
            <w:tcW w:w="1246" w:type="pct"/>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66ECCB6B" w14:textId="1264B56E" w:rsidR="008E25C4" w:rsidRPr="00391BE1" w:rsidRDefault="008E25C4" w:rsidP="008E25C4">
            <w:pPr>
              <w:spacing w:after="0" w:line="254" w:lineRule="auto"/>
              <w:jc w:val="center"/>
              <w:rPr>
                <w:rFonts w:eastAsia="Times New Roman" w:cstheme="minorHAnsi"/>
                <w:sz w:val="20"/>
                <w:szCs w:val="20"/>
              </w:rPr>
            </w:pPr>
            <w:r w:rsidRPr="00391BE1">
              <w:rPr>
                <w:rFonts w:eastAsia="Times New Roman" w:cstheme="minorHAnsi"/>
                <w:b/>
                <w:bCs/>
                <w:kern w:val="3"/>
                <w:sz w:val="20"/>
                <w:szCs w:val="20"/>
              </w:rPr>
              <w:t>Satisfactory</w:t>
            </w:r>
          </w:p>
        </w:tc>
        <w:tc>
          <w:tcPr>
            <w:tcW w:w="1258" w:type="pct"/>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2544A802" w14:textId="482C2751" w:rsidR="008E25C4" w:rsidRPr="00391BE1" w:rsidRDefault="008E25C4" w:rsidP="008E25C4">
            <w:pPr>
              <w:spacing w:after="0" w:line="254" w:lineRule="auto"/>
              <w:jc w:val="center"/>
              <w:rPr>
                <w:rFonts w:eastAsia="Times New Roman" w:cstheme="minorHAnsi"/>
                <w:sz w:val="20"/>
                <w:szCs w:val="20"/>
              </w:rPr>
            </w:pPr>
            <w:r w:rsidRPr="00391BE1">
              <w:rPr>
                <w:rFonts w:eastAsia="Times New Roman" w:cstheme="minorHAnsi"/>
                <w:b/>
                <w:bCs/>
                <w:kern w:val="3"/>
                <w:sz w:val="20"/>
                <w:szCs w:val="20"/>
              </w:rPr>
              <w:t>Exemplary</w:t>
            </w:r>
          </w:p>
        </w:tc>
      </w:tr>
      <w:tr w:rsidR="008E25C4" w:rsidRPr="00391BE1" w14:paraId="166CD265" w14:textId="77777777" w:rsidTr="008E25C4">
        <w:trPr>
          <w:trHeight w:val="1489"/>
        </w:trPr>
        <w:tc>
          <w:tcPr>
            <w:tcW w:w="1243" w:type="pct"/>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27FFA197" w14:textId="77777777" w:rsidR="008E25C4" w:rsidRPr="00391BE1" w:rsidRDefault="008E25C4" w:rsidP="008E25C4">
            <w:pPr>
              <w:spacing w:after="0" w:line="254" w:lineRule="auto"/>
              <w:rPr>
                <w:rFonts w:eastAsia="Times New Roman" w:cstheme="minorHAnsi"/>
                <w:b/>
                <w:bCs/>
                <w:sz w:val="20"/>
                <w:szCs w:val="20"/>
              </w:rPr>
            </w:pPr>
            <w:r w:rsidRPr="00391BE1">
              <w:rPr>
                <w:rFonts w:eastAsia="Times New Roman" w:cstheme="minorHAnsi"/>
                <w:b/>
                <w:bCs/>
                <w:sz w:val="20"/>
                <w:szCs w:val="20"/>
              </w:rPr>
              <w:t>EC1</w:t>
            </w:r>
          </w:p>
          <w:p w14:paraId="14E6E531" w14:textId="77777777" w:rsidR="008E25C4" w:rsidRPr="00391BE1" w:rsidRDefault="008E25C4" w:rsidP="008E25C4">
            <w:pPr>
              <w:spacing w:after="0" w:line="254" w:lineRule="auto"/>
              <w:rPr>
                <w:rFonts w:eastAsia="Times New Roman" w:cstheme="minorHAnsi"/>
                <w:b/>
                <w:bCs/>
                <w:sz w:val="20"/>
                <w:szCs w:val="20"/>
              </w:rPr>
            </w:pPr>
            <w:r w:rsidRPr="00391BE1">
              <w:rPr>
                <w:rFonts w:eastAsia="Times New Roman" w:cstheme="minorHAnsi"/>
                <w:b/>
                <w:bCs/>
                <w:sz w:val="20"/>
                <w:szCs w:val="20"/>
              </w:rPr>
              <w:t xml:space="preserve">SUBSTANCE </w:t>
            </w:r>
          </w:p>
          <w:p w14:paraId="78F33947" w14:textId="77777777" w:rsidR="008E25C4" w:rsidRPr="00391BE1" w:rsidRDefault="008E25C4" w:rsidP="008E25C4">
            <w:pPr>
              <w:spacing w:after="0" w:line="254" w:lineRule="auto"/>
              <w:rPr>
                <w:rFonts w:eastAsia="Times New Roman" w:cstheme="minorHAnsi"/>
                <w:sz w:val="20"/>
                <w:szCs w:val="20"/>
              </w:rPr>
            </w:pPr>
            <w:r w:rsidRPr="00391BE1">
              <w:rPr>
                <w:rFonts w:eastAsia="Times New Roman" w:cstheme="minorHAnsi"/>
                <w:sz w:val="20"/>
                <w:szCs w:val="20"/>
              </w:rPr>
              <w:t>Substance/content of communication</w:t>
            </w:r>
          </w:p>
        </w:tc>
        <w:tc>
          <w:tcPr>
            <w:tcW w:w="1253" w:type="pct"/>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25E946A4" w14:textId="77777777" w:rsidR="008E25C4" w:rsidRPr="00391BE1" w:rsidRDefault="008E25C4" w:rsidP="008E25C4">
            <w:pPr>
              <w:pStyle w:val="ListParagraph"/>
              <w:numPr>
                <w:ilvl w:val="0"/>
                <w:numId w:val="3"/>
              </w:numPr>
              <w:spacing w:after="0" w:line="254" w:lineRule="auto"/>
              <w:ind w:left="210" w:hanging="180"/>
              <w:rPr>
                <w:rFonts w:eastAsia="Times New Roman" w:cstheme="minorHAnsi"/>
                <w:sz w:val="20"/>
                <w:szCs w:val="20"/>
              </w:rPr>
            </w:pPr>
            <w:r w:rsidRPr="00391BE1">
              <w:rPr>
                <w:rFonts w:eastAsia="Times New Roman" w:cstheme="minorHAnsi"/>
                <w:sz w:val="20"/>
                <w:szCs w:val="20"/>
              </w:rPr>
              <w:t xml:space="preserve">Substance/content of the message is </w:t>
            </w:r>
            <w:r w:rsidRPr="00391BE1">
              <w:rPr>
                <w:rFonts w:eastAsia="Times New Roman" w:cstheme="minorHAnsi"/>
                <w:b/>
                <w:bCs/>
                <w:sz w:val="20"/>
                <w:szCs w:val="20"/>
              </w:rPr>
              <w:t>somewhat</w:t>
            </w:r>
            <w:r w:rsidRPr="00391BE1">
              <w:rPr>
                <w:rFonts w:eastAsia="Times New Roman" w:cstheme="minorHAnsi"/>
                <w:sz w:val="20"/>
                <w:szCs w:val="20"/>
              </w:rPr>
              <w:t xml:space="preserve"> </w:t>
            </w:r>
            <w:r w:rsidRPr="00391BE1">
              <w:rPr>
                <w:rFonts w:eastAsia="Times New Roman" w:cstheme="minorHAnsi"/>
                <w:b/>
                <w:bCs/>
                <w:sz w:val="20"/>
                <w:szCs w:val="20"/>
              </w:rPr>
              <w:t>relevant</w:t>
            </w:r>
            <w:r w:rsidRPr="00391BE1">
              <w:rPr>
                <w:rFonts w:eastAsia="Times New Roman" w:cstheme="minorHAnsi"/>
                <w:sz w:val="20"/>
                <w:szCs w:val="20"/>
              </w:rPr>
              <w:t xml:space="preserve"> and compelling</w:t>
            </w:r>
          </w:p>
          <w:p w14:paraId="0147C026" w14:textId="77777777" w:rsidR="008E25C4" w:rsidRPr="00391BE1" w:rsidRDefault="008E25C4" w:rsidP="008E25C4">
            <w:pPr>
              <w:pStyle w:val="ListParagraph"/>
              <w:numPr>
                <w:ilvl w:val="0"/>
                <w:numId w:val="3"/>
              </w:numPr>
              <w:spacing w:after="0" w:line="254" w:lineRule="auto"/>
              <w:ind w:left="210" w:hanging="180"/>
              <w:rPr>
                <w:rFonts w:eastAsia="Times New Roman" w:cstheme="minorHAnsi"/>
                <w:sz w:val="20"/>
                <w:szCs w:val="20"/>
              </w:rPr>
            </w:pPr>
            <w:r w:rsidRPr="00391BE1">
              <w:rPr>
                <w:rFonts w:eastAsia="Times New Roman" w:cstheme="minorHAnsi"/>
                <w:sz w:val="20"/>
                <w:szCs w:val="20"/>
              </w:rPr>
              <w:t xml:space="preserve">Subject matter is </w:t>
            </w:r>
            <w:r w:rsidRPr="00391BE1">
              <w:rPr>
                <w:rFonts w:eastAsia="Times New Roman" w:cstheme="minorHAnsi"/>
                <w:b/>
                <w:bCs/>
                <w:sz w:val="20"/>
                <w:szCs w:val="20"/>
              </w:rPr>
              <w:t>superficially</w:t>
            </w:r>
            <w:r w:rsidRPr="00391BE1">
              <w:rPr>
                <w:rFonts w:eastAsia="Times New Roman" w:cstheme="minorHAnsi"/>
                <w:sz w:val="20"/>
                <w:szCs w:val="20"/>
              </w:rPr>
              <w:t xml:space="preserve"> </w:t>
            </w:r>
            <w:r w:rsidRPr="00391BE1">
              <w:rPr>
                <w:rFonts w:eastAsia="Times New Roman" w:cstheme="minorHAnsi"/>
                <w:b/>
                <w:bCs/>
                <w:sz w:val="20"/>
                <w:szCs w:val="20"/>
              </w:rPr>
              <w:t>or inadequately</w:t>
            </w:r>
            <w:r w:rsidRPr="00391BE1">
              <w:rPr>
                <w:rFonts w:eastAsia="Times New Roman" w:cstheme="minorHAnsi"/>
                <w:sz w:val="20"/>
                <w:szCs w:val="20"/>
              </w:rPr>
              <w:t xml:space="preserve"> addressed</w:t>
            </w:r>
          </w:p>
        </w:tc>
        <w:tc>
          <w:tcPr>
            <w:tcW w:w="1246" w:type="pct"/>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38A3189E" w14:textId="77777777" w:rsidR="008E25C4" w:rsidRPr="00391BE1" w:rsidRDefault="008E25C4" w:rsidP="008E25C4">
            <w:pPr>
              <w:pStyle w:val="ListParagraph"/>
              <w:numPr>
                <w:ilvl w:val="0"/>
                <w:numId w:val="3"/>
              </w:numPr>
              <w:spacing w:after="0" w:line="254" w:lineRule="auto"/>
              <w:ind w:left="210" w:hanging="180"/>
              <w:rPr>
                <w:rFonts w:eastAsia="Times New Roman" w:cstheme="minorHAnsi"/>
                <w:sz w:val="20"/>
                <w:szCs w:val="20"/>
              </w:rPr>
            </w:pPr>
            <w:r w:rsidRPr="00391BE1">
              <w:rPr>
                <w:rFonts w:eastAsia="Times New Roman" w:cstheme="minorHAnsi"/>
                <w:sz w:val="20"/>
                <w:szCs w:val="20"/>
              </w:rPr>
              <w:t xml:space="preserve">Substance/content of the message is </w:t>
            </w:r>
            <w:r w:rsidRPr="00391BE1">
              <w:rPr>
                <w:rFonts w:eastAsia="Times New Roman" w:cstheme="minorHAnsi"/>
                <w:b/>
                <w:bCs/>
                <w:sz w:val="20"/>
                <w:szCs w:val="20"/>
              </w:rPr>
              <w:t>mostly relevant</w:t>
            </w:r>
            <w:r w:rsidRPr="00391BE1">
              <w:rPr>
                <w:rFonts w:eastAsia="Times New Roman" w:cstheme="minorHAnsi"/>
                <w:sz w:val="20"/>
                <w:szCs w:val="20"/>
              </w:rPr>
              <w:t xml:space="preserve"> and compelling </w:t>
            </w:r>
          </w:p>
          <w:p w14:paraId="63F442AF" w14:textId="77777777" w:rsidR="008E25C4" w:rsidRPr="00391BE1" w:rsidRDefault="008E25C4" w:rsidP="008E25C4">
            <w:pPr>
              <w:pStyle w:val="ListParagraph"/>
              <w:numPr>
                <w:ilvl w:val="0"/>
                <w:numId w:val="3"/>
              </w:numPr>
              <w:spacing w:after="0" w:line="254" w:lineRule="auto"/>
              <w:ind w:left="210" w:hanging="180"/>
              <w:rPr>
                <w:rFonts w:eastAsia="Times New Roman" w:cstheme="minorHAnsi"/>
                <w:sz w:val="20"/>
                <w:szCs w:val="20"/>
              </w:rPr>
            </w:pPr>
            <w:r w:rsidRPr="00391BE1">
              <w:rPr>
                <w:rFonts w:eastAsia="Times New Roman" w:cstheme="minorHAnsi"/>
                <w:sz w:val="20"/>
                <w:szCs w:val="20"/>
              </w:rPr>
              <w:t xml:space="preserve">Subject matter is </w:t>
            </w:r>
            <w:r w:rsidRPr="00391BE1">
              <w:rPr>
                <w:rFonts w:eastAsia="Times New Roman" w:cstheme="minorHAnsi"/>
                <w:b/>
                <w:bCs/>
                <w:sz w:val="20"/>
                <w:szCs w:val="20"/>
              </w:rPr>
              <w:t>adequately</w:t>
            </w:r>
            <w:r w:rsidRPr="00391BE1">
              <w:rPr>
                <w:rFonts w:eastAsia="Times New Roman" w:cstheme="minorHAnsi"/>
                <w:sz w:val="20"/>
                <w:szCs w:val="20"/>
              </w:rPr>
              <w:t xml:space="preserve"> addressed </w:t>
            </w:r>
          </w:p>
        </w:tc>
        <w:tc>
          <w:tcPr>
            <w:tcW w:w="1258" w:type="pct"/>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2CAF1E59" w14:textId="77777777" w:rsidR="008E25C4" w:rsidRPr="00391BE1" w:rsidRDefault="008E25C4" w:rsidP="008E25C4">
            <w:pPr>
              <w:pStyle w:val="ListParagraph"/>
              <w:numPr>
                <w:ilvl w:val="0"/>
                <w:numId w:val="3"/>
              </w:numPr>
              <w:spacing w:after="0" w:line="254" w:lineRule="auto"/>
              <w:ind w:left="210" w:hanging="180"/>
              <w:rPr>
                <w:rFonts w:eastAsia="Times New Roman" w:cstheme="minorHAnsi"/>
                <w:sz w:val="20"/>
                <w:szCs w:val="20"/>
              </w:rPr>
            </w:pPr>
            <w:r w:rsidRPr="00391BE1">
              <w:rPr>
                <w:rFonts w:eastAsia="Times New Roman" w:cstheme="minorHAnsi"/>
                <w:sz w:val="20"/>
                <w:szCs w:val="20"/>
              </w:rPr>
              <w:t xml:space="preserve">Substance/content of the message is </w:t>
            </w:r>
            <w:r w:rsidRPr="00391BE1">
              <w:rPr>
                <w:rFonts w:eastAsia="Times New Roman" w:cstheme="minorHAnsi"/>
                <w:b/>
                <w:bCs/>
                <w:sz w:val="20"/>
                <w:szCs w:val="20"/>
              </w:rPr>
              <w:t>relevant</w:t>
            </w:r>
            <w:r w:rsidRPr="00391BE1">
              <w:rPr>
                <w:rFonts w:eastAsia="Times New Roman" w:cstheme="minorHAnsi"/>
                <w:sz w:val="20"/>
                <w:szCs w:val="20"/>
              </w:rPr>
              <w:t xml:space="preserve"> and compelling</w:t>
            </w:r>
          </w:p>
          <w:p w14:paraId="552C0FF3" w14:textId="77777777" w:rsidR="008E25C4" w:rsidRPr="00391BE1" w:rsidRDefault="008E25C4" w:rsidP="008E25C4">
            <w:pPr>
              <w:pStyle w:val="ListParagraph"/>
              <w:numPr>
                <w:ilvl w:val="0"/>
                <w:numId w:val="3"/>
              </w:numPr>
              <w:spacing w:after="0" w:line="254" w:lineRule="auto"/>
              <w:ind w:left="210" w:hanging="180"/>
              <w:rPr>
                <w:rFonts w:eastAsia="Times New Roman" w:cstheme="minorHAnsi"/>
                <w:sz w:val="20"/>
                <w:szCs w:val="20"/>
              </w:rPr>
            </w:pPr>
            <w:r w:rsidRPr="00391BE1">
              <w:rPr>
                <w:rFonts w:eastAsia="Times New Roman" w:cstheme="minorHAnsi"/>
                <w:sz w:val="20"/>
                <w:szCs w:val="20"/>
              </w:rPr>
              <w:t xml:space="preserve">Subject matter is </w:t>
            </w:r>
            <w:r w:rsidRPr="00391BE1">
              <w:rPr>
                <w:rFonts w:eastAsia="Times New Roman" w:cstheme="minorHAnsi"/>
                <w:b/>
                <w:bCs/>
                <w:sz w:val="20"/>
                <w:szCs w:val="20"/>
              </w:rPr>
              <w:t>comprehensively</w:t>
            </w:r>
            <w:r w:rsidRPr="00391BE1">
              <w:rPr>
                <w:rFonts w:eastAsia="Times New Roman" w:cstheme="minorHAnsi"/>
                <w:sz w:val="20"/>
                <w:szCs w:val="20"/>
              </w:rPr>
              <w:t xml:space="preserve"> addressed</w:t>
            </w:r>
          </w:p>
        </w:tc>
      </w:tr>
      <w:tr w:rsidR="008E25C4" w:rsidRPr="00391BE1" w14:paraId="10936E05" w14:textId="77777777" w:rsidTr="008E25C4">
        <w:trPr>
          <w:trHeight w:val="1948"/>
        </w:trPr>
        <w:tc>
          <w:tcPr>
            <w:tcW w:w="1243" w:type="pct"/>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67D01C7E" w14:textId="77777777" w:rsidR="008E25C4" w:rsidRPr="00391BE1" w:rsidRDefault="008E25C4" w:rsidP="008E25C4">
            <w:pPr>
              <w:spacing w:after="0" w:line="254" w:lineRule="auto"/>
              <w:rPr>
                <w:rFonts w:eastAsia="Times New Roman" w:cstheme="minorHAnsi"/>
                <w:b/>
                <w:bCs/>
                <w:kern w:val="3"/>
                <w:sz w:val="20"/>
                <w:szCs w:val="20"/>
              </w:rPr>
            </w:pPr>
            <w:r w:rsidRPr="00391BE1">
              <w:rPr>
                <w:rFonts w:eastAsia="Times New Roman" w:cstheme="minorHAnsi"/>
                <w:b/>
                <w:bCs/>
                <w:kern w:val="3"/>
                <w:sz w:val="20"/>
                <w:szCs w:val="20"/>
              </w:rPr>
              <w:t>EC2</w:t>
            </w:r>
          </w:p>
          <w:p w14:paraId="35E209A1" w14:textId="77777777" w:rsidR="008E25C4" w:rsidRPr="00391BE1" w:rsidRDefault="008E25C4" w:rsidP="008E25C4">
            <w:pPr>
              <w:spacing w:after="0" w:line="254" w:lineRule="auto"/>
              <w:rPr>
                <w:rFonts w:eastAsia="Times New Roman" w:cstheme="minorHAnsi"/>
                <w:b/>
                <w:bCs/>
                <w:sz w:val="20"/>
                <w:szCs w:val="20"/>
              </w:rPr>
            </w:pPr>
            <w:r w:rsidRPr="00391BE1">
              <w:rPr>
                <w:rFonts w:eastAsia="Times New Roman" w:cstheme="minorHAnsi"/>
                <w:b/>
                <w:bCs/>
                <w:sz w:val="20"/>
                <w:szCs w:val="20"/>
              </w:rPr>
              <w:t xml:space="preserve">DELIVERY </w:t>
            </w:r>
          </w:p>
          <w:p w14:paraId="3B9848FE" w14:textId="77777777" w:rsidR="008E25C4" w:rsidRPr="00391BE1" w:rsidRDefault="008E25C4" w:rsidP="008E25C4">
            <w:pPr>
              <w:spacing w:after="0" w:line="254" w:lineRule="auto"/>
              <w:rPr>
                <w:rFonts w:eastAsia="Times New Roman" w:cstheme="minorHAnsi"/>
                <w:sz w:val="20"/>
                <w:szCs w:val="20"/>
              </w:rPr>
            </w:pPr>
            <w:r w:rsidRPr="00391BE1">
              <w:rPr>
                <w:rFonts w:eastAsia="Times New Roman" w:cstheme="minorHAnsi"/>
                <w:sz w:val="20"/>
                <w:szCs w:val="20"/>
              </w:rPr>
              <w:t xml:space="preserve">Formal qualities/elements of communication (e.g., grammar/mechanics, technique, format) and their capacity to persuade </w:t>
            </w:r>
          </w:p>
        </w:tc>
        <w:tc>
          <w:tcPr>
            <w:tcW w:w="1253" w:type="pct"/>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5C351A81" w14:textId="77777777" w:rsidR="008E25C4" w:rsidRPr="00391BE1" w:rsidRDefault="008E25C4" w:rsidP="008E25C4">
            <w:pPr>
              <w:pStyle w:val="ListParagraph"/>
              <w:numPr>
                <w:ilvl w:val="0"/>
                <w:numId w:val="4"/>
              </w:numPr>
              <w:spacing w:after="0" w:line="254" w:lineRule="auto"/>
              <w:ind w:left="210" w:hanging="180"/>
              <w:rPr>
                <w:rFonts w:eastAsia="Times New Roman" w:cstheme="minorHAnsi"/>
                <w:sz w:val="20"/>
                <w:szCs w:val="20"/>
              </w:rPr>
            </w:pPr>
            <w:r w:rsidRPr="00391BE1">
              <w:rPr>
                <w:rFonts w:eastAsia="Times New Roman" w:cstheme="minorHAnsi"/>
                <w:sz w:val="20"/>
                <w:szCs w:val="20"/>
              </w:rPr>
              <w:t xml:space="preserve">Meaning is communicated with </w:t>
            </w:r>
            <w:r w:rsidRPr="00391BE1">
              <w:rPr>
                <w:rFonts w:eastAsia="Times New Roman" w:cstheme="minorHAnsi"/>
                <w:b/>
                <w:bCs/>
                <w:sz w:val="20"/>
                <w:szCs w:val="20"/>
              </w:rPr>
              <w:t>clarity and fluency across some of the work</w:t>
            </w:r>
            <w:r w:rsidRPr="00391BE1">
              <w:rPr>
                <w:rFonts w:eastAsia="Times New Roman" w:cstheme="minorHAnsi"/>
                <w:sz w:val="20"/>
                <w:szCs w:val="20"/>
              </w:rPr>
              <w:t xml:space="preserve">  </w:t>
            </w:r>
          </w:p>
          <w:p w14:paraId="7C46A5B8" w14:textId="77777777" w:rsidR="008E25C4" w:rsidRPr="00391BE1" w:rsidRDefault="008E25C4" w:rsidP="008E25C4">
            <w:pPr>
              <w:pStyle w:val="ListParagraph"/>
              <w:numPr>
                <w:ilvl w:val="0"/>
                <w:numId w:val="4"/>
              </w:numPr>
              <w:spacing w:after="0" w:line="254" w:lineRule="auto"/>
              <w:ind w:left="210" w:hanging="180"/>
              <w:rPr>
                <w:rFonts w:eastAsia="Times New Roman" w:cstheme="minorHAnsi"/>
                <w:sz w:val="20"/>
                <w:szCs w:val="20"/>
              </w:rPr>
            </w:pPr>
            <w:r w:rsidRPr="00391BE1">
              <w:rPr>
                <w:rFonts w:eastAsia="Times New Roman" w:cstheme="minorHAnsi"/>
                <w:sz w:val="20"/>
                <w:szCs w:val="20"/>
              </w:rPr>
              <w:t xml:space="preserve">Communication </w:t>
            </w:r>
            <w:r w:rsidRPr="00391BE1">
              <w:rPr>
                <w:rFonts w:eastAsia="Times New Roman" w:cstheme="minorHAnsi"/>
                <w:b/>
                <w:bCs/>
                <w:sz w:val="20"/>
                <w:szCs w:val="20"/>
              </w:rPr>
              <w:t>may include some errors</w:t>
            </w:r>
            <w:r w:rsidRPr="00391BE1">
              <w:rPr>
                <w:rFonts w:eastAsia="Times New Roman" w:cstheme="minorHAnsi"/>
                <w:sz w:val="20"/>
                <w:szCs w:val="20"/>
              </w:rPr>
              <w:t xml:space="preserve"> </w:t>
            </w:r>
          </w:p>
          <w:p w14:paraId="3D508266" w14:textId="77777777" w:rsidR="008E25C4" w:rsidRPr="00391BE1" w:rsidRDefault="008E25C4" w:rsidP="008E25C4">
            <w:pPr>
              <w:pStyle w:val="ListParagraph"/>
              <w:numPr>
                <w:ilvl w:val="0"/>
                <w:numId w:val="4"/>
              </w:numPr>
              <w:spacing w:after="0" w:line="254" w:lineRule="auto"/>
              <w:ind w:left="210" w:hanging="180"/>
              <w:rPr>
                <w:rFonts w:eastAsia="Times New Roman" w:cstheme="minorHAnsi"/>
                <w:sz w:val="20"/>
                <w:szCs w:val="20"/>
              </w:rPr>
            </w:pPr>
            <w:r w:rsidRPr="00391BE1">
              <w:rPr>
                <w:rFonts w:eastAsia="Times New Roman" w:cstheme="minorHAnsi"/>
                <w:sz w:val="20"/>
                <w:szCs w:val="20"/>
              </w:rPr>
              <w:t xml:space="preserve">Communication is </w:t>
            </w:r>
            <w:r w:rsidRPr="00391BE1">
              <w:rPr>
                <w:rFonts w:eastAsia="Times New Roman" w:cstheme="minorHAnsi"/>
                <w:b/>
                <w:bCs/>
                <w:sz w:val="20"/>
                <w:szCs w:val="20"/>
              </w:rPr>
              <w:t>somewhat persuasive</w:t>
            </w:r>
          </w:p>
        </w:tc>
        <w:tc>
          <w:tcPr>
            <w:tcW w:w="1246" w:type="pct"/>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54A754F3" w14:textId="77777777" w:rsidR="008E25C4" w:rsidRPr="00391BE1" w:rsidRDefault="008E25C4" w:rsidP="008E25C4">
            <w:pPr>
              <w:pStyle w:val="ListParagraph"/>
              <w:numPr>
                <w:ilvl w:val="0"/>
                <w:numId w:val="4"/>
              </w:numPr>
              <w:spacing w:after="0" w:line="254" w:lineRule="auto"/>
              <w:ind w:left="210" w:hanging="180"/>
              <w:rPr>
                <w:rFonts w:eastAsia="Times New Roman" w:cstheme="minorHAnsi"/>
                <w:sz w:val="20"/>
                <w:szCs w:val="20"/>
              </w:rPr>
            </w:pPr>
            <w:r w:rsidRPr="00391BE1">
              <w:rPr>
                <w:rFonts w:eastAsia="Times New Roman" w:cstheme="minorHAnsi"/>
                <w:sz w:val="20"/>
                <w:szCs w:val="20"/>
              </w:rPr>
              <w:t xml:space="preserve">Meaning is communicated with </w:t>
            </w:r>
            <w:r w:rsidRPr="00391BE1">
              <w:rPr>
                <w:rFonts w:eastAsia="Times New Roman" w:cstheme="minorHAnsi"/>
                <w:b/>
                <w:bCs/>
                <w:sz w:val="20"/>
                <w:szCs w:val="20"/>
              </w:rPr>
              <w:t>clarity and fluency across most of the work</w:t>
            </w:r>
            <w:r w:rsidRPr="00391BE1">
              <w:rPr>
                <w:rFonts w:eastAsia="Times New Roman" w:cstheme="minorHAnsi"/>
                <w:sz w:val="20"/>
                <w:szCs w:val="20"/>
              </w:rPr>
              <w:t xml:space="preserve"> </w:t>
            </w:r>
          </w:p>
          <w:p w14:paraId="3272DC93" w14:textId="77777777" w:rsidR="008E25C4" w:rsidRPr="00391BE1" w:rsidRDefault="008E25C4" w:rsidP="008E25C4">
            <w:pPr>
              <w:pStyle w:val="ListParagraph"/>
              <w:numPr>
                <w:ilvl w:val="0"/>
                <w:numId w:val="4"/>
              </w:numPr>
              <w:spacing w:after="0" w:line="254" w:lineRule="auto"/>
              <w:ind w:left="210" w:hanging="180"/>
              <w:rPr>
                <w:rFonts w:eastAsia="Times New Roman" w:cstheme="minorHAnsi"/>
                <w:sz w:val="20"/>
                <w:szCs w:val="20"/>
              </w:rPr>
            </w:pPr>
            <w:r w:rsidRPr="00391BE1">
              <w:rPr>
                <w:rFonts w:eastAsia="Times New Roman" w:cstheme="minorHAnsi"/>
                <w:sz w:val="20"/>
                <w:szCs w:val="20"/>
              </w:rPr>
              <w:t xml:space="preserve">Communication </w:t>
            </w:r>
            <w:r w:rsidRPr="00391BE1">
              <w:rPr>
                <w:rFonts w:eastAsia="Times New Roman" w:cstheme="minorHAnsi"/>
                <w:b/>
                <w:bCs/>
                <w:sz w:val="20"/>
                <w:szCs w:val="20"/>
              </w:rPr>
              <w:t>has few errors</w:t>
            </w:r>
            <w:r w:rsidRPr="00391BE1">
              <w:rPr>
                <w:rFonts w:eastAsia="Times New Roman" w:cstheme="minorHAnsi"/>
                <w:sz w:val="20"/>
                <w:szCs w:val="20"/>
              </w:rPr>
              <w:t xml:space="preserve"> </w:t>
            </w:r>
          </w:p>
          <w:p w14:paraId="7B84B543" w14:textId="77777777" w:rsidR="008E25C4" w:rsidRPr="00391BE1" w:rsidRDefault="008E25C4" w:rsidP="008E25C4">
            <w:pPr>
              <w:pStyle w:val="ListParagraph"/>
              <w:numPr>
                <w:ilvl w:val="0"/>
                <w:numId w:val="4"/>
              </w:numPr>
              <w:spacing w:after="0" w:line="254" w:lineRule="auto"/>
              <w:ind w:left="210" w:hanging="180"/>
              <w:rPr>
                <w:rFonts w:eastAsia="Times New Roman" w:cstheme="minorHAnsi"/>
                <w:sz w:val="20"/>
                <w:szCs w:val="20"/>
              </w:rPr>
            </w:pPr>
            <w:r w:rsidRPr="00391BE1">
              <w:rPr>
                <w:rFonts w:eastAsia="Times New Roman" w:cstheme="minorHAnsi"/>
                <w:sz w:val="20"/>
                <w:szCs w:val="20"/>
              </w:rPr>
              <w:t xml:space="preserve">Communication is </w:t>
            </w:r>
            <w:r w:rsidRPr="00391BE1">
              <w:rPr>
                <w:rFonts w:eastAsia="Times New Roman" w:cstheme="minorHAnsi"/>
                <w:b/>
                <w:bCs/>
                <w:sz w:val="20"/>
                <w:szCs w:val="20"/>
              </w:rPr>
              <w:t>mostly persuasive</w:t>
            </w:r>
          </w:p>
        </w:tc>
        <w:tc>
          <w:tcPr>
            <w:tcW w:w="1258" w:type="pct"/>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2D2ABE95" w14:textId="77777777" w:rsidR="008E25C4" w:rsidRPr="00391BE1" w:rsidRDefault="008E25C4" w:rsidP="008E25C4">
            <w:pPr>
              <w:pStyle w:val="ListParagraph"/>
              <w:numPr>
                <w:ilvl w:val="0"/>
                <w:numId w:val="4"/>
              </w:numPr>
              <w:spacing w:after="0" w:line="254" w:lineRule="auto"/>
              <w:ind w:left="210" w:hanging="180"/>
              <w:rPr>
                <w:rFonts w:eastAsia="Times New Roman" w:cstheme="minorHAnsi"/>
                <w:sz w:val="20"/>
                <w:szCs w:val="20"/>
              </w:rPr>
            </w:pPr>
            <w:r w:rsidRPr="00391BE1">
              <w:rPr>
                <w:rFonts w:eastAsia="Times New Roman" w:cstheme="minorHAnsi"/>
                <w:sz w:val="20"/>
                <w:szCs w:val="20"/>
              </w:rPr>
              <w:t xml:space="preserve">Meaning is communicated with </w:t>
            </w:r>
            <w:r w:rsidRPr="00391BE1">
              <w:rPr>
                <w:rFonts w:eastAsia="Times New Roman" w:cstheme="minorHAnsi"/>
                <w:b/>
                <w:bCs/>
                <w:sz w:val="20"/>
                <w:szCs w:val="20"/>
              </w:rPr>
              <w:t>clarity and fluency throughout the work</w:t>
            </w:r>
            <w:r w:rsidRPr="00391BE1">
              <w:rPr>
                <w:rFonts w:eastAsia="Times New Roman" w:cstheme="minorHAnsi"/>
                <w:sz w:val="20"/>
                <w:szCs w:val="20"/>
              </w:rPr>
              <w:t xml:space="preserve">  </w:t>
            </w:r>
          </w:p>
          <w:p w14:paraId="5BDE1BB1" w14:textId="77777777" w:rsidR="008E25C4" w:rsidRPr="00391BE1" w:rsidRDefault="008E25C4" w:rsidP="008E25C4">
            <w:pPr>
              <w:pStyle w:val="ListParagraph"/>
              <w:numPr>
                <w:ilvl w:val="0"/>
                <w:numId w:val="4"/>
              </w:numPr>
              <w:spacing w:after="0" w:line="254" w:lineRule="auto"/>
              <w:ind w:left="210" w:hanging="180"/>
              <w:rPr>
                <w:rFonts w:eastAsia="Times New Roman" w:cstheme="minorHAnsi"/>
                <w:sz w:val="20"/>
                <w:szCs w:val="20"/>
              </w:rPr>
            </w:pPr>
            <w:r w:rsidRPr="00391BE1">
              <w:rPr>
                <w:rFonts w:eastAsia="Times New Roman" w:cstheme="minorHAnsi"/>
                <w:sz w:val="20"/>
                <w:szCs w:val="20"/>
              </w:rPr>
              <w:t xml:space="preserve">Communication is </w:t>
            </w:r>
            <w:r w:rsidRPr="00391BE1">
              <w:rPr>
                <w:rFonts w:eastAsia="Times New Roman" w:cstheme="minorHAnsi"/>
                <w:b/>
                <w:bCs/>
                <w:sz w:val="20"/>
                <w:szCs w:val="20"/>
              </w:rPr>
              <w:t>virtually error-free</w:t>
            </w:r>
            <w:r w:rsidRPr="00391BE1">
              <w:rPr>
                <w:rFonts w:eastAsia="Times New Roman" w:cstheme="minorHAnsi"/>
                <w:sz w:val="20"/>
                <w:szCs w:val="20"/>
              </w:rPr>
              <w:t xml:space="preserve"> </w:t>
            </w:r>
          </w:p>
          <w:p w14:paraId="72D92CAA" w14:textId="77777777" w:rsidR="008E25C4" w:rsidRPr="00391BE1" w:rsidRDefault="008E25C4" w:rsidP="008E25C4">
            <w:pPr>
              <w:pStyle w:val="ListParagraph"/>
              <w:numPr>
                <w:ilvl w:val="0"/>
                <w:numId w:val="4"/>
              </w:numPr>
              <w:spacing w:after="0" w:line="254" w:lineRule="auto"/>
              <w:ind w:left="210" w:hanging="180"/>
              <w:rPr>
                <w:rFonts w:eastAsia="Times New Roman" w:cstheme="minorHAnsi"/>
                <w:sz w:val="20"/>
                <w:szCs w:val="20"/>
              </w:rPr>
            </w:pPr>
            <w:r w:rsidRPr="00391BE1">
              <w:rPr>
                <w:rFonts w:eastAsia="Times New Roman" w:cstheme="minorHAnsi"/>
                <w:sz w:val="20"/>
                <w:szCs w:val="20"/>
              </w:rPr>
              <w:t xml:space="preserve">Communication is </w:t>
            </w:r>
            <w:r w:rsidRPr="00391BE1">
              <w:rPr>
                <w:rFonts w:eastAsia="Times New Roman" w:cstheme="minorHAnsi"/>
                <w:b/>
                <w:bCs/>
                <w:sz w:val="20"/>
                <w:szCs w:val="20"/>
              </w:rPr>
              <w:t>very persuasive</w:t>
            </w:r>
          </w:p>
        </w:tc>
      </w:tr>
      <w:tr w:rsidR="008E25C4" w:rsidRPr="00391BE1" w14:paraId="545958F8" w14:textId="77777777" w:rsidTr="008E25C4">
        <w:trPr>
          <w:trHeight w:val="2740"/>
        </w:trPr>
        <w:tc>
          <w:tcPr>
            <w:tcW w:w="1243" w:type="pct"/>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02F07DD4" w14:textId="77777777" w:rsidR="008E25C4" w:rsidRPr="00391BE1" w:rsidRDefault="008E25C4" w:rsidP="008E25C4">
            <w:pPr>
              <w:spacing w:after="0" w:line="254" w:lineRule="auto"/>
              <w:rPr>
                <w:rFonts w:eastAsia="Times New Roman" w:cstheme="minorHAnsi"/>
                <w:b/>
                <w:bCs/>
                <w:kern w:val="3"/>
                <w:sz w:val="20"/>
                <w:szCs w:val="20"/>
              </w:rPr>
            </w:pPr>
            <w:r w:rsidRPr="00391BE1">
              <w:rPr>
                <w:rFonts w:eastAsia="Times New Roman" w:cstheme="minorHAnsi"/>
                <w:b/>
                <w:bCs/>
                <w:kern w:val="3"/>
                <w:sz w:val="20"/>
                <w:szCs w:val="20"/>
              </w:rPr>
              <w:t>EC3</w:t>
            </w:r>
          </w:p>
          <w:p w14:paraId="5F17D07B" w14:textId="77777777" w:rsidR="008E25C4" w:rsidRPr="00391BE1" w:rsidRDefault="008E25C4" w:rsidP="008E25C4">
            <w:pPr>
              <w:spacing w:after="0" w:line="254" w:lineRule="auto"/>
              <w:rPr>
                <w:rFonts w:eastAsia="Times New Roman" w:cstheme="minorHAnsi"/>
                <w:kern w:val="3"/>
                <w:sz w:val="20"/>
                <w:szCs w:val="20"/>
              </w:rPr>
            </w:pPr>
            <w:r w:rsidRPr="00391BE1">
              <w:rPr>
                <w:rFonts w:eastAsia="Times New Roman" w:cstheme="minorHAnsi"/>
                <w:b/>
                <w:bCs/>
                <w:kern w:val="3"/>
                <w:sz w:val="20"/>
                <w:szCs w:val="20"/>
              </w:rPr>
              <w:t xml:space="preserve">ADAPTATION TO AUDIENCE AND COMMUNITY BUILDING </w:t>
            </w:r>
            <w:r w:rsidRPr="00391BE1">
              <w:rPr>
                <w:rFonts w:eastAsia="Times New Roman" w:cstheme="minorHAnsi"/>
                <w:kern w:val="3"/>
                <w:sz w:val="20"/>
                <w:szCs w:val="20"/>
              </w:rPr>
              <w:t>Development and respectful transmission of community norms and goals</w:t>
            </w:r>
          </w:p>
        </w:tc>
        <w:tc>
          <w:tcPr>
            <w:tcW w:w="1253" w:type="pct"/>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2FA5EDCE" w14:textId="60ED347A" w:rsidR="008E25C4" w:rsidRPr="00391BE1" w:rsidRDefault="008E25C4" w:rsidP="008E25C4">
            <w:pPr>
              <w:pStyle w:val="ListParagraph"/>
              <w:numPr>
                <w:ilvl w:val="0"/>
                <w:numId w:val="5"/>
              </w:numPr>
              <w:spacing w:after="0" w:line="254" w:lineRule="auto"/>
              <w:ind w:left="210" w:hanging="180"/>
              <w:rPr>
                <w:rFonts w:eastAsia="Times New Roman" w:cstheme="minorHAnsi"/>
                <w:sz w:val="20"/>
                <w:szCs w:val="20"/>
              </w:rPr>
            </w:pPr>
            <w:r w:rsidRPr="00391BE1">
              <w:rPr>
                <w:rFonts w:eastAsia="Times New Roman" w:cstheme="minorHAnsi"/>
                <w:b/>
                <w:bCs/>
                <w:sz w:val="20"/>
                <w:szCs w:val="20"/>
              </w:rPr>
              <w:t xml:space="preserve">Sometimes </w:t>
            </w:r>
            <w:r w:rsidRPr="00391BE1">
              <w:rPr>
                <w:rFonts w:eastAsia="Times New Roman" w:cstheme="minorHAnsi"/>
                <w:sz w:val="20"/>
                <w:szCs w:val="20"/>
              </w:rPr>
              <w:t>uses appropriate tone, language, etc... when communicating with others</w:t>
            </w:r>
          </w:p>
          <w:p w14:paraId="0BA0D0A1" w14:textId="77777777" w:rsidR="008E25C4" w:rsidRPr="00391BE1" w:rsidRDefault="008E25C4" w:rsidP="008E25C4">
            <w:pPr>
              <w:pStyle w:val="ListParagraph"/>
              <w:numPr>
                <w:ilvl w:val="0"/>
                <w:numId w:val="5"/>
              </w:numPr>
              <w:spacing w:after="0" w:line="254" w:lineRule="auto"/>
              <w:ind w:left="210" w:hanging="180"/>
              <w:rPr>
                <w:rFonts w:eastAsia="Times New Roman" w:cstheme="minorHAnsi"/>
                <w:sz w:val="20"/>
                <w:szCs w:val="20"/>
              </w:rPr>
            </w:pPr>
            <w:r w:rsidRPr="00391BE1">
              <w:rPr>
                <w:rFonts w:eastAsia="Times New Roman" w:cstheme="minorHAnsi"/>
                <w:sz w:val="20"/>
                <w:szCs w:val="20"/>
              </w:rPr>
              <w:t xml:space="preserve">Is </w:t>
            </w:r>
            <w:r w:rsidRPr="00391BE1">
              <w:rPr>
                <w:rFonts w:eastAsia="Times New Roman" w:cstheme="minorHAnsi"/>
                <w:b/>
                <w:bCs/>
                <w:sz w:val="20"/>
                <w:szCs w:val="20"/>
              </w:rPr>
              <w:t xml:space="preserve">sometimes </w:t>
            </w:r>
            <w:r w:rsidRPr="00391BE1">
              <w:rPr>
                <w:rFonts w:eastAsia="Times New Roman" w:cstheme="minorHAnsi"/>
                <w:sz w:val="20"/>
                <w:szCs w:val="20"/>
              </w:rPr>
              <w:t>attentive, asks questions, provides constructive criticism when appropriate, etc... when others are communicating</w:t>
            </w:r>
          </w:p>
          <w:p w14:paraId="33706D55" w14:textId="77777777" w:rsidR="008E25C4" w:rsidRPr="00391BE1" w:rsidRDefault="008E25C4" w:rsidP="008E25C4">
            <w:pPr>
              <w:spacing w:after="0" w:line="254" w:lineRule="auto"/>
              <w:rPr>
                <w:rFonts w:eastAsia="Times New Roman" w:cstheme="minorHAnsi"/>
                <w:sz w:val="20"/>
                <w:szCs w:val="20"/>
              </w:rPr>
            </w:pPr>
          </w:p>
        </w:tc>
        <w:tc>
          <w:tcPr>
            <w:tcW w:w="1246" w:type="pct"/>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7B1F1C3C" w14:textId="77777777" w:rsidR="008E25C4" w:rsidRPr="00391BE1" w:rsidRDefault="008E25C4" w:rsidP="008E25C4">
            <w:pPr>
              <w:pStyle w:val="ListParagraph"/>
              <w:numPr>
                <w:ilvl w:val="0"/>
                <w:numId w:val="6"/>
              </w:numPr>
              <w:spacing w:after="0" w:line="254" w:lineRule="auto"/>
              <w:ind w:left="300" w:hanging="240"/>
              <w:rPr>
                <w:rFonts w:eastAsia="Times New Roman" w:cstheme="minorHAnsi"/>
                <w:sz w:val="20"/>
                <w:szCs w:val="20"/>
              </w:rPr>
            </w:pPr>
            <w:r w:rsidRPr="00391BE1">
              <w:rPr>
                <w:rFonts w:eastAsia="Times New Roman" w:cstheme="minorHAnsi"/>
                <w:b/>
                <w:bCs/>
                <w:sz w:val="20"/>
                <w:szCs w:val="20"/>
              </w:rPr>
              <w:t xml:space="preserve">Mostly </w:t>
            </w:r>
            <w:r w:rsidRPr="00391BE1">
              <w:rPr>
                <w:rFonts w:eastAsia="Times New Roman" w:cstheme="minorHAnsi"/>
                <w:sz w:val="20"/>
                <w:szCs w:val="20"/>
              </w:rPr>
              <w:t>uses appropriate tone, language, etc... when communicating with others</w:t>
            </w:r>
          </w:p>
          <w:p w14:paraId="738B1923" w14:textId="77777777" w:rsidR="008E25C4" w:rsidRPr="00391BE1" w:rsidRDefault="008E25C4" w:rsidP="008E25C4">
            <w:pPr>
              <w:pStyle w:val="ListParagraph"/>
              <w:numPr>
                <w:ilvl w:val="0"/>
                <w:numId w:val="6"/>
              </w:numPr>
              <w:spacing w:after="0" w:line="254" w:lineRule="auto"/>
              <w:ind w:left="300" w:hanging="240"/>
              <w:rPr>
                <w:rFonts w:eastAsia="Times New Roman" w:cstheme="minorHAnsi"/>
                <w:sz w:val="20"/>
                <w:szCs w:val="20"/>
              </w:rPr>
            </w:pPr>
            <w:r w:rsidRPr="00391BE1">
              <w:rPr>
                <w:rFonts w:eastAsia="Times New Roman" w:cstheme="minorHAnsi"/>
                <w:sz w:val="20"/>
                <w:szCs w:val="20"/>
              </w:rPr>
              <w:t>Is</w:t>
            </w:r>
            <w:r w:rsidRPr="00391BE1">
              <w:rPr>
                <w:rFonts w:eastAsia="Times New Roman" w:cstheme="minorHAnsi"/>
                <w:b/>
                <w:bCs/>
                <w:sz w:val="20"/>
                <w:szCs w:val="20"/>
              </w:rPr>
              <w:t xml:space="preserve"> mostly </w:t>
            </w:r>
            <w:r w:rsidRPr="00391BE1">
              <w:rPr>
                <w:rFonts w:eastAsia="Times New Roman" w:cstheme="minorHAnsi"/>
                <w:sz w:val="20"/>
                <w:szCs w:val="20"/>
              </w:rPr>
              <w:t>attentive, asks questions, provides constructive criticism when appropriate, etc... when others are communicating</w:t>
            </w:r>
          </w:p>
          <w:p w14:paraId="3A5050EC" w14:textId="77777777" w:rsidR="008E25C4" w:rsidRPr="00391BE1" w:rsidRDefault="008E25C4" w:rsidP="008E25C4">
            <w:pPr>
              <w:spacing w:after="0" w:line="254" w:lineRule="auto"/>
              <w:rPr>
                <w:rFonts w:eastAsia="Times New Roman" w:cstheme="minorHAnsi"/>
                <w:sz w:val="20"/>
                <w:szCs w:val="20"/>
              </w:rPr>
            </w:pPr>
          </w:p>
        </w:tc>
        <w:tc>
          <w:tcPr>
            <w:tcW w:w="1258" w:type="pct"/>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363D354B" w14:textId="77777777" w:rsidR="008E25C4" w:rsidRPr="00391BE1" w:rsidRDefault="008E25C4" w:rsidP="008E25C4">
            <w:pPr>
              <w:pStyle w:val="ListParagraph"/>
              <w:numPr>
                <w:ilvl w:val="0"/>
                <w:numId w:val="7"/>
              </w:numPr>
              <w:spacing w:after="0" w:line="254" w:lineRule="auto"/>
              <w:ind w:left="300" w:hanging="240"/>
              <w:rPr>
                <w:rFonts w:eastAsia="Times New Roman" w:cstheme="minorHAnsi"/>
                <w:sz w:val="20"/>
                <w:szCs w:val="20"/>
              </w:rPr>
            </w:pPr>
            <w:r w:rsidRPr="00391BE1">
              <w:rPr>
                <w:rFonts w:eastAsia="Times New Roman" w:cstheme="minorHAnsi"/>
                <w:b/>
                <w:bCs/>
                <w:sz w:val="20"/>
                <w:szCs w:val="20"/>
              </w:rPr>
              <w:t xml:space="preserve">Consistently </w:t>
            </w:r>
            <w:r w:rsidRPr="00391BE1">
              <w:rPr>
                <w:rFonts w:eastAsia="Times New Roman" w:cstheme="minorHAnsi"/>
                <w:sz w:val="20"/>
                <w:szCs w:val="20"/>
              </w:rPr>
              <w:t xml:space="preserve">uses appropriate tone, language, etc... when communicating with others </w:t>
            </w:r>
          </w:p>
          <w:p w14:paraId="653243A1" w14:textId="77777777" w:rsidR="008E25C4" w:rsidRPr="00391BE1" w:rsidRDefault="008E25C4" w:rsidP="008E25C4">
            <w:pPr>
              <w:pStyle w:val="ListParagraph"/>
              <w:numPr>
                <w:ilvl w:val="0"/>
                <w:numId w:val="7"/>
              </w:numPr>
              <w:spacing w:after="0" w:line="254" w:lineRule="auto"/>
              <w:ind w:left="300" w:hanging="240"/>
              <w:rPr>
                <w:rFonts w:eastAsia="Times New Roman" w:cstheme="minorHAnsi"/>
                <w:sz w:val="20"/>
                <w:szCs w:val="20"/>
              </w:rPr>
            </w:pPr>
            <w:r w:rsidRPr="00391BE1">
              <w:rPr>
                <w:rFonts w:eastAsia="Times New Roman" w:cstheme="minorHAnsi"/>
                <w:sz w:val="20"/>
                <w:szCs w:val="20"/>
              </w:rPr>
              <w:t xml:space="preserve">Is </w:t>
            </w:r>
            <w:r w:rsidRPr="00391BE1">
              <w:rPr>
                <w:rFonts w:eastAsia="Times New Roman" w:cstheme="minorHAnsi"/>
                <w:b/>
                <w:bCs/>
                <w:sz w:val="20"/>
                <w:szCs w:val="20"/>
              </w:rPr>
              <w:t xml:space="preserve">consistently </w:t>
            </w:r>
            <w:r w:rsidRPr="00391BE1">
              <w:rPr>
                <w:rFonts w:eastAsia="Times New Roman" w:cstheme="minorHAnsi"/>
                <w:sz w:val="20"/>
                <w:szCs w:val="20"/>
              </w:rPr>
              <w:t>attentive, asks questions, provides constructive criticism when appropriate, etc... when others are communicating</w:t>
            </w:r>
          </w:p>
        </w:tc>
      </w:tr>
    </w:tbl>
    <w:p w14:paraId="3A5E2EFE" w14:textId="0CC20888" w:rsidR="00391BE1" w:rsidRDefault="00391BE1" w:rsidP="00391BE1">
      <w:pPr>
        <w:pStyle w:val="NoSpacing"/>
        <w:rPr>
          <w:rFonts w:cstheme="minorHAnsi"/>
        </w:rPr>
      </w:pPr>
      <w:r>
        <w:rPr>
          <w:b/>
          <w:bCs/>
        </w:rPr>
        <w:t>EFFECTIVE COMMUNICATION</w:t>
      </w:r>
      <w:r>
        <w:t xml:space="preserve"> –</w:t>
      </w:r>
      <w:r w:rsidR="008E25C4">
        <w:t xml:space="preserve"> </w:t>
      </w:r>
      <w:r>
        <w:t xml:space="preserve">the ability to exchange information and ideas in oral, written, and visual form in ways that allow for </w:t>
      </w:r>
      <w:r>
        <w:rPr>
          <w:b/>
          <w:bCs/>
        </w:rPr>
        <w:t>informed (content)</w:t>
      </w:r>
      <w:r>
        <w:t xml:space="preserve"> and </w:t>
      </w:r>
      <w:r>
        <w:rPr>
          <w:b/>
          <w:bCs/>
        </w:rPr>
        <w:t>persuasive (organization, technique, format)</w:t>
      </w:r>
      <w:r>
        <w:t xml:space="preserve"> discourse that </w:t>
      </w:r>
      <w:r>
        <w:rPr>
          <w:b/>
          <w:bCs/>
        </w:rPr>
        <w:t>builds trust (audience and situationally appropriate)</w:t>
      </w:r>
      <w:r>
        <w:t xml:space="preserve"> and respect among those engaged in that exchange, and helps create environments where creative ideas and problem-solving flourish.</w:t>
      </w:r>
    </w:p>
    <w:sectPr w:rsidR="00391BE1" w:rsidSect="001C3410">
      <w:headerReference w:type="default" r:id="rId21"/>
      <w:footerReference w:type="default" r:id="rId22"/>
      <w:headerReference w:type="first" r:id="rId23"/>
      <w:footerReference w:type="first" r:id="rId24"/>
      <w:pgSz w:w="12240" w:h="15840"/>
      <w:pgMar w:top="1440" w:right="1440" w:bottom="1440" w:left="1440" w:header="1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1980F" w14:textId="77777777" w:rsidR="003568A1" w:rsidRDefault="003568A1" w:rsidP="00A874BA">
      <w:pPr>
        <w:spacing w:after="0" w:line="240" w:lineRule="auto"/>
      </w:pPr>
      <w:r>
        <w:separator/>
      </w:r>
    </w:p>
  </w:endnote>
  <w:endnote w:type="continuationSeparator" w:id="0">
    <w:p w14:paraId="37779F12" w14:textId="77777777" w:rsidR="003568A1" w:rsidRDefault="003568A1" w:rsidP="00A874BA">
      <w:pPr>
        <w:spacing w:after="0" w:line="240" w:lineRule="auto"/>
      </w:pPr>
      <w:r>
        <w:continuationSeparator/>
      </w:r>
    </w:p>
  </w:endnote>
  <w:endnote w:type="continuationNotice" w:id="1">
    <w:p w14:paraId="39CD10F5" w14:textId="77777777" w:rsidR="003568A1" w:rsidRDefault="00356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612450"/>
      <w:docPartObj>
        <w:docPartGallery w:val="Page Numbers (Bottom of Page)"/>
        <w:docPartUnique/>
      </w:docPartObj>
    </w:sdtPr>
    <w:sdtEndPr>
      <w:rPr>
        <w:noProof/>
      </w:rPr>
    </w:sdtEndPr>
    <w:sdtContent>
      <w:p w14:paraId="5AEC2579" w14:textId="6548D5B1" w:rsidR="004840D0" w:rsidRDefault="004840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FD2ED1" w14:textId="77777777" w:rsidR="004840D0" w:rsidRDefault="00484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661246"/>
      <w:docPartObj>
        <w:docPartGallery w:val="Page Numbers (Bottom of Page)"/>
        <w:docPartUnique/>
      </w:docPartObj>
    </w:sdtPr>
    <w:sdtEndPr>
      <w:rPr>
        <w:noProof/>
      </w:rPr>
    </w:sdtEndPr>
    <w:sdtContent>
      <w:p w14:paraId="784DFC0D" w14:textId="7D37400F" w:rsidR="009E5B86" w:rsidRDefault="009E5B86" w:rsidP="009E5B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DCE84E" w14:textId="77777777" w:rsidR="009E5B86" w:rsidRDefault="009E5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B74B" w14:textId="77777777" w:rsidR="003568A1" w:rsidRDefault="003568A1" w:rsidP="00A874BA">
      <w:pPr>
        <w:spacing w:after="0" w:line="240" w:lineRule="auto"/>
      </w:pPr>
      <w:r>
        <w:separator/>
      </w:r>
    </w:p>
  </w:footnote>
  <w:footnote w:type="continuationSeparator" w:id="0">
    <w:p w14:paraId="32288705" w14:textId="77777777" w:rsidR="003568A1" w:rsidRDefault="003568A1" w:rsidP="00A874BA">
      <w:pPr>
        <w:spacing w:after="0" w:line="240" w:lineRule="auto"/>
      </w:pPr>
      <w:r>
        <w:continuationSeparator/>
      </w:r>
    </w:p>
  </w:footnote>
  <w:footnote w:type="continuationNotice" w:id="1">
    <w:p w14:paraId="7721E28B" w14:textId="77777777" w:rsidR="003568A1" w:rsidRDefault="003568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2B8F" w14:textId="77777777" w:rsidR="00C224B0" w:rsidRDefault="00C224B0" w:rsidP="00A874BA">
    <w:pPr>
      <w:pStyle w:val="Header"/>
      <w:ind w:left="-720"/>
    </w:pPr>
  </w:p>
  <w:p w14:paraId="036C87F5" w14:textId="2C9F2D07" w:rsidR="00A874BA" w:rsidRDefault="00A874BA" w:rsidP="00A874BA">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BFA4" w14:textId="13D1D32B" w:rsidR="001C3410" w:rsidRDefault="00A72329" w:rsidP="00C831C0">
    <w:pPr>
      <w:pStyle w:val="Header"/>
      <w:ind w:left="-540"/>
      <w:jc w:val="center"/>
    </w:pPr>
    <w:r>
      <w:rPr>
        <w:noProof/>
      </w:rPr>
      <w:drawing>
        <wp:inline distT="0" distB="0" distL="0" distR="0" wp14:anchorId="7548C326" wp14:editId="1369B66F">
          <wp:extent cx="4470307" cy="771525"/>
          <wp:effectExtent l="0" t="0" r="6985" b="0"/>
          <wp:docPr id="6" name="Picture 6" descr="Header: Penn State Office for General Education and the Office of Planning, Assessment and Institutional Re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der: Penn State Office for General Education and the Office of Planning, Assessment and Institutional Research.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211" cy="7725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C03"/>
    <w:multiLevelType w:val="hybridMultilevel"/>
    <w:tmpl w:val="5DD88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2C6305"/>
    <w:multiLevelType w:val="hybridMultilevel"/>
    <w:tmpl w:val="1E62D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9B0AA5"/>
    <w:multiLevelType w:val="hybridMultilevel"/>
    <w:tmpl w:val="36C8E8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EE64BAA"/>
    <w:multiLevelType w:val="hybridMultilevel"/>
    <w:tmpl w:val="187E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6229B"/>
    <w:multiLevelType w:val="hybridMultilevel"/>
    <w:tmpl w:val="939AF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315266"/>
    <w:multiLevelType w:val="hybridMultilevel"/>
    <w:tmpl w:val="83001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98527C"/>
    <w:multiLevelType w:val="hybridMultilevel"/>
    <w:tmpl w:val="56E4D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FF79F2"/>
    <w:multiLevelType w:val="hybridMultilevel"/>
    <w:tmpl w:val="F41445C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16cid:durableId="369958565">
    <w:abstractNumId w:val="7"/>
  </w:num>
  <w:num w:numId="2" w16cid:durableId="1252544621">
    <w:abstractNumId w:val="2"/>
  </w:num>
  <w:num w:numId="3" w16cid:durableId="748691483">
    <w:abstractNumId w:val="1"/>
  </w:num>
  <w:num w:numId="4" w16cid:durableId="1791046676">
    <w:abstractNumId w:val="5"/>
  </w:num>
  <w:num w:numId="5" w16cid:durableId="300694450">
    <w:abstractNumId w:val="6"/>
  </w:num>
  <w:num w:numId="6" w16cid:durableId="1308315955">
    <w:abstractNumId w:val="0"/>
  </w:num>
  <w:num w:numId="7" w16cid:durableId="1164006416">
    <w:abstractNumId w:val="4"/>
  </w:num>
  <w:num w:numId="8" w16cid:durableId="8113357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BA"/>
    <w:rsid w:val="00004E01"/>
    <w:rsid w:val="00006549"/>
    <w:rsid w:val="0001035C"/>
    <w:rsid w:val="00010D87"/>
    <w:rsid w:val="00015FAD"/>
    <w:rsid w:val="00024355"/>
    <w:rsid w:val="000244A6"/>
    <w:rsid w:val="00026970"/>
    <w:rsid w:val="00027D57"/>
    <w:rsid w:val="00032FAA"/>
    <w:rsid w:val="00034B96"/>
    <w:rsid w:val="00034C56"/>
    <w:rsid w:val="00035C23"/>
    <w:rsid w:val="00036642"/>
    <w:rsid w:val="000422B5"/>
    <w:rsid w:val="00050637"/>
    <w:rsid w:val="000649AC"/>
    <w:rsid w:val="00066F7B"/>
    <w:rsid w:val="00071F0B"/>
    <w:rsid w:val="00085BF4"/>
    <w:rsid w:val="0008648E"/>
    <w:rsid w:val="00090C10"/>
    <w:rsid w:val="000953C6"/>
    <w:rsid w:val="00095BB3"/>
    <w:rsid w:val="000A18A5"/>
    <w:rsid w:val="000A2D39"/>
    <w:rsid w:val="000A2F63"/>
    <w:rsid w:val="000B28DD"/>
    <w:rsid w:val="000B4098"/>
    <w:rsid w:val="000C0E4C"/>
    <w:rsid w:val="000C3966"/>
    <w:rsid w:val="000D1BF3"/>
    <w:rsid w:val="000D2DC0"/>
    <w:rsid w:val="000E3857"/>
    <w:rsid w:val="000E3BCD"/>
    <w:rsid w:val="000F0771"/>
    <w:rsid w:val="000F607D"/>
    <w:rsid w:val="00100FC7"/>
    <w:rsid w:val="001018E8"/>
    <w:rsid w:val="00102417"/>
    <w:rsid w:val="00104F0A"/>
    <w:rsid w:val="00107318"/>
    <w:rsid w:val="00111130"/>
    <w:rsid w:val="00113A09"/>
    <w:rsid w:val="001177CE"/>
    <w:rsid w:val="0012539A"/>
    <w:rsid w:val="00130A06"/>
    <w:rsid w:val="00130DE0"/>
    <w:rsid w:val="0013229B"/>
    <w:rsid w:val="001374A8"/>
    <w:rsid w:val="001451BA"/>
    <w:rsid w:val="00146A3E"/>
    <w:rsid w:val="00146BD5"/>
    <w:rsid w:val="00147CFC"/>
    <w:rsid w:val="0015130A"/>
    <w:rsid w:val="00152062"/>
    <w:rsid w:val="0015228D"/>
    <w:rsid w:val="00153380"/>
    <w:rsid w:val="00156766"/>
    <w:rsid w:val="00157EE2"/>
    <w:rsid w:val="00163FD6"/>
    <w:rsid w:val="00171200"/>
    <w:rsid w:val="00172C3E"/>
    <w:rsid w:val="0017562A"/>
    <w:rsid w:val="0018160E"/>
    <w:rsid w:val="0018278F"/>
    <w:rsid w:val="00186282"/>
    <w:rsid w:val="00192E42"/>
    <w:rsid w:val="00195415"/>
    <w:rsid w:val="001A3580"/>
    <w:rsid w:val="001A36B0"/>
    <w:rsid w:val="001A7957"/>
    <w:rsid w:val="001B0D5F"/>
    <w:rsid w:val="001B206A"/>
    <w:rsid w:val="001B32FC"/>
    <w:rsid w:val="001B36C0"/>
    <w:rsid w:val="001B3F18"/>
    <w:rsid w:val="001B676B"/>
    <w:rsid w:val="001C3410"/>
    <w:rsid w:val="001C48C9"/>
    <w:rsid w:val="001C4A5A"/>
    <w:rsid w:val="001C4F35"/>
    <w:rsid w:val="001D1BDA"/>
    <w:rsid w:val="001D1DC4"/>
    <w:rsid w:val="001D68F9"/>
    <w:rsid w:val="001E0B25"/>
    <w:rsid w:val="001E2C14"/>
    <w:rsid w:val="001E3130"/>
    <w:rsid w:val="001E6B19"/>
    <w:rsid w:val="001F3839"/>
    <w:rsid w:val="001F3FC1"/>
    <w:rsid w:val="002000FA"/>
    <w:rsid w:val="0020292E"/>
    <w:rsid w:val="002051DC"/>
    <w:rsid w:val="002053A0"/>
    <w:rsid w:val="00205E26"/>
    <w:rsid w:val="002070BC"/>
    <w:rsid w:val="00214937"/>
    <w:rsid w:val="00214B2A"/>
    <w:rsid w:val="002178AF"/>
    <w:rsid w:val="00221428"/>
    <w:rsid w:val="00223754"/>
    <w:rsid w:val="00225B43"/>
    <w:rsid w:val="00226385"/>
    <w:rsid w:val="00234866"/>
    <w:rsid w:val="0024027C"/>
    <w:rsid w:val="002420A0"/>
    <w:rsid w:val="002428E2"/>
    <w:rsid w:val="00251429"/>
    <w:rsid w:val="00251C2E"/>
    <w:rsid w:val="002527BA"/>
    <w:rsid w:val="00252C19"/>
    <w:rsid w:val="002569D8"/>
    <w:rsid w:val="00257114"/>
    <w:rsid w:val="00262951"/>
    <w:rsid w:val="00263C95"/>
    <w:rsid w:val="00272580"/>
    <w:rsid w:val="00273682"/>
    <w:rsid w:val="00273D0A"/>
    <w:rsid w:val="0028599B"/>
    <w:rsid w:val="00290733"/>
    <w:rsid w:val="0029163D"/>
    <w:rsid w:val="002930DD"/>
    <w:rsid w:val="00293B25"/>
    <w:rsid w:val="00296D8F"/>
    <w:rsid w:val="002A0AA8"/>
    <w:rsid w:val="002A163F"/>
    <w:rsid w:val="002A1819"/>
    <w:rsid w:val="002A5DBF"/>
    <w:rsid w:val="002A5FDB"/>
    <w:rsid w:val="002A7192"/>
    <w:rsid w:val="002B1000"/>
    <w:rsid w:val="002B121B"/>
    <w:rsid w:val="002B217E"/>
    <w:rsid w:val="002B7D39"/>
    <w:rsid w:val="002C0385"/>
    <w:rsid w:val="002C0D76"/>
    <w:rsid w:val="002C1D29"/>
    <w:rsid w:val="002C1DD5"/>
    <w:rsid w:val="002C2F00"/>
    <w:rsid w:val="002C3182"/>
    <w:rsid w:val="002C3779"/>
    <w:rsid w:val="002C4A65"/>
    <w:rsid w:val="002C5859"/>
    <w:rsid w:val="002C6C0A"/>
    <w:rsid w:val="002D06FA"/>
    <w:rsid w:val="002D0F64"/>
    <w:rsid w:val="002D4054"/>
    <w:rsid w:val="002F3CF9"/>
    <w:rsid w:val="003007D7"/>
    <w:rsid w:val="00300EFD"/>
    <w:rsid w:val="003025B8"/>
    <w:rsid w:val="00303785"/>
    <w:rsid w:val="003108C9"/>
    <w:rsid w:val="00313698"/>
    <w:rsid w:val="003152B7"/>
    <w:rsid w:val="00323CB7"/>
    <w:rsid w:val="00324BEA"/>
    <w:rsid w:val="003276F8"/>
    <w:rsid w:val="0033213F"/>
    <w:rsid w:val="00337349"/>
    <w:rsid w:val="00340299"/>
    <w:rsid w:val="0034171A"/>
    <w:rsid w:val="00345417"/>
    <w:rsid w:val="003518F7"/>
    <w:rsid w:val="00351CAD"/>
    <w:rsid w:val="00352938"/>
    <w:rsid w:val="003568A1"/>
    <w:rsid w:val="00357314"/>
    <w:rsid w:val="00357515"/>
    <w:rsid w:val="003608EC"/>
    <w:rsid w:val="00362058"/>
    <w:rsid w:val="00362EDB"/>
    <w:rsid w:val="00370EEA"/>
    <w:rsid w:val="003741CA"/>
    <w:rsid w:val="00376230"/>
    <w:rsid w:val="0038139F"/>
    <w:rsid w:val="003820DE"/>
    <w:rsid w:val="00382316"/>
    <w:rsid w:val="0038416A"/>
    <w:rsid w:val="00391905"/>
    <w:rsid w:val="00391BE1"/>
    <w:rsid w:val="00396DDF"/>
    <w:rsid w:val="00396FFA"/>
    <w:rsid w:val="003A0852"/>
    <w:rsid w:val="003A1C8E"/>
    <w:rsid w:val="003A3AF8"/>
    <w:rsid w:val="003A4439"/>
    <w:rsid w:val="003A63DF"/>
    <w:rsid w:val="003A6906"/>
    <w:rsid w:val="003B0798"/>
    <w:rsid w:val="003B10AA"/>
    <w:rsid w:val="003C0AB0"/>
    <w:rsid w:val="003C0EBA"/>
    <w:rsid w:val="003C1FB6"/>
    <w:rsid w:val="003D00D2"/>
    <w:rsid w:val="003D2BB4"/>
    <w:rsid w:val="003D58A9"/>
    <w:rsid w:val="003D7D58"/>
    <w:rsid w:val="003E283B"/>
    <w:rsid w:val="003E7FB5"/>
    <w:rsid w:val="003F11F0"/>
    <w:rsid w:val="003F17CE"/>
    <w:rsid w:val="003F1893"/>
    <w:rsid w:val="003F3106"/>
    <w:rsid w:val="003F78AB"/>
    <w:rsid w:val="0040106A"/>
    <w:rsid w:val="00406DF2"/>
    <w:rsid w:val="00410571"/>
    <w:rsid w:val="0041194C"/>
    <w:rsid w:val="00411D83"/>
    <w:rsid w:val="0041742D"/>
    <w:rsid w:val="004210E1"/>
    <w:rsid w:val="00421166"/>
    <w:rsid w:val="00421C35"/>
    <w:rsid w:val="00422268"/>
    <w:rsid w:val="00423606"/>
    <w:rsid w:val="0043382E"/>
    <w:rsid w:val="0044065B"/>
    <w:rsid w:val="00442964"/>
    <w:rsid w:val="00444B01"/>
    <w:rsid w:val="00454A75"/>
    <w:rsid w:val="004559FB"/>
    <w:rsid w:val="004632DC"/>
    <w:rsid w:val="004659D1"/>
    <w:rsid w:val="00470AED"/>
    <w:rsid w:val="0047440D"/>
    <w:rsid w:val="00477E87"/>
    <w:rsid w:val="00480DB5"/>
    <w:rsid w:val="00481392"/>
    <w:rsid w:val="004840D0"/>
    <w:rsid w:val="00487FF7"/>
    <w:rsid w:val="00491627"/>
    <w:rsid w:val="004937E5"/>
    <w:rsid w:val="004953AC"/>
    <w:rsid w:val="004961EC"/>
    <w:rsid w:val="00497EF0"/>
    <w:rsid w:val="004A2EDE"/>
    <w:rsid w:val="004B2CE3"/>
    <w:rsid w:val="004B41E0"/>
    <w:rsid w:val="004B5FEA"/>
    <w:rsid w:val="004C13FB"/>
    <w:rsid w:val="004C36A6"/>
    <w:rsid w:val="004D3AE1"/>
    <w:rsid w:val="004D5F31"/>
    <w:rsid w:val="004E076C"/>
    <w:rsid w:val="004E16EE"/>
    <w:rsid w:val="004E2CD5"/>
    <w:rsid w:val="004E4479"/>
    <w:rsid w:val="004E6D3B"/>
    <w:rsid w:val="004E71C1"/>
    <w:rsid w:val="004F36B5"/>
    <w:rsid w:val="004F3FF4"/>
    <w:rsid w:val="004F5C46"/>
    <w:rsid w:val="005058D6"/>
    <w:rsid w:val="00513806"/>
    <w:rsid w:val="005153D3"/>
    <w:rsid w:val="0051637D"/>
    <w:rsid w:val="00517D05"/>
    <w:rsid w:val="0052246B"/>
    <w:rsid w:val="00523525"/>
    <w:rsid w:val="005245A3"/>
    <w:rsid w:val="005339B0"/>
    <w:rsid w:val="00533D05"/>
    <w:rsid w:val="0053493A"/>
    <w:rsid w:val="0054189D"/>
    <w:rsid w:val="005508FF"/>
    <w:rsid w:val="005560F0"/>
    <w:rsid w:val="005621C2"/>
    <w:rsid w:val="00562570"/>
    <w:rsid w:val="00566E52"/>
    <w:rsid w:val="00571C2A"/>
    <w:rsid w:val="00582E3F"/>
    <w:rsid w:val="00585D81"/>
    <w:rsid w:val="00593AAB"/>
    <w:rsid w:val="00596A89"/>
    <w:rsid w:val="005B301A"/>
    <w:rsid w:val="005B7F12"/>
    <w:rsid w:val="005C0F9A"/>
    <w:rsid w:val="005E0791"/>
    <w:rsid w:val="005E3462"/>
    <w:rsid w:val="005E3704"/>
    <w:rsid w:val="005F200C"/>
    <w:rsid w:val="005F3D0E"/>
    <w:rsid w:val="005F5FE1"/>
    <w:rsid w:val="005F723F"/>
    <w:rsid w:val="00600EB9"/>
    <w:rsid w:val="006066BE"/>
    <w:rsid w:val="00606D3C"/>
    <w:rsid w:val="00610EF9"/>
    <w:rsid w:val="0061156D"/>
    <w:rsid w:val="006154C2"/>
    <w:rsid w:val="00615CC5"/>
    <w:rsid w:val="00617B34"/>
    <w:rsid w:val="00617E71"/>
    <w:rsid w:val="00624CC5"/>
    <w:rsid w:val="00625A04"/>
    <w:rsid w:val="006326EF"/>
    <w:rsid w:val="006333BC"/>
    <w:rsid w:val="00635D04"/>
    <w:rsid w:val="006406FB"/>
    <w:rsid w:val="0064300A"/>
    <w:rsid w:val="00643A94"/>
    <w:rsid w:val="0064660C"/>
    <w:rsid w:val="00650C66"/>
    <w:rsid w:val="00655827"/>
    <w:rsid w:val="006564A5"/>
    <w:rsid w:val="00657E79"/>
    <w:rsid w:val="00661312"/>
    <w:rsid w:val="00673D9B"/>
    <w:rsid w:val="00676D7C"/>
    <w:rsid w:val="006856DB"/>
    <w:rsid w:val="00685F61"/>
    <w:rsid w:val="00687080"/>
    <w:rsid w:val="006876B0"/>
    <w:rsid w:val="00692329"/>
    <w:rsid w:val="006933E0"/>
    <w:rsid w:val="006A44AB"/>
    <w:rsid w:val="006A5622"/>
    <w:rsid w:val="006A64B6"/>
    <w:rsid w:val="006B0F59"/>
    <w:rsid w:val="006B5BA7"/>
    <w:rsid w:val="006C5341"/>
    <w:rsid w:val="006D0C3D"/>
    <w:rsid w:val="006D15A6"/>
    <w:rsid w:val="006D1EAB"/>
    <w:rsid w:val="006D22AF"/>
    <w:rsid w:val="006D2AAF"/>
    <w:rsid w:val="006D4741"/>
    <w:rsid w:val="006E329B"/>
    <w:rsid w:val="006E3A14"/>
    <w:rsid w:val="006F1468"/>
    <w:rsid w:val="006F18AC"/>
    <w:rsid w:val="006F1EDB"/>
    <w:rsid w:val="006F1F62"/>
    <w:rsid w:val="00710E9B"/>
    <w:rsid w:val="00715986"/>
    <w:rsid w:val="00720B50"/>
    <w:rsid w:val="00731D0B"/>
    <w:rsid w:val="00735090"/>
    <w:rsid w:val="00735D43"/>
    <w:rsid w:val="00741171"/>
    <w:rsid w:val="00742342"/>
    <w:rsid w:val="007423BF"/>
    <w:rsid w:val="00742569"/>
    <w:rsid w:val="0074430A"/>
    <w:rsid w:val="00750C80"/>
    <w:rsid w:val="00751FAF"/>
    <w:rsid w:val="00753D1F"/>
    <w:rsid w:val="007563ED"/>
    <w:rsid w:val="00760529"/>
    <w:rsid w:val="00761FE2"/>
    <w:rsid w:val="00762C84"/>
    <w:rsid w:val="007706E1"/>
    <w:rsid w:val="007751DE"/>
    <w:rsid w:val="00780D34"/>
    <w:rsid w:val="0078189E"/>
    <w:rsid w:val="00782A0B"/>
    <w:rsid w:val="00782D8F"/>
    <w:rsid w:val="00783A17"/>
    <w:rsid w:val="00784238"/>
    <w:rsid w:val="00785FB2"/>
    <w:rsid w:val="00794DBA"/>
    <w:rsid w:val="00796942"/>
    <w:rsid w:val="007A371E"/>
    <w:rsid w:val="007A4400"/>
    <w:rsid w:val="007A45AE"/>
    <w:rsid w:val="007A76B8"/>
    <w:rsid w:val="007B028F"/>
    <w:rsid w:val="007B151C"/>
    <w:rsid w:val="007B41E9"/>
    <w:rsid w:val="007C17CA"/>
    <w:rsid w:val="007C3E1A"/>
    <w:rsid w:val="007C444A"/>
    <w:rsid w:val="007D2B1B"/>
    <w:rsid w:val="007D329A"/>
    <w:rsid w:val="007D6DBB"/>
    <w:rsid w:val="007E1FDD"/>
    <w:rsid w:val="007E4073"/>
    <w:rsid w:val="007E7806"/>
    <w:rsid w:val="007F034D"/>
    <w:rsid w:val="007F307F"/>
    <w:rsid w:val="007F6890"/>
    <w:rsid w:val="008020A2"/>
    <w:rsid w:val="0080765A"/>
    <w:rsid w:val="00816794"/>
    <w:rsid w:val="00820614"/>
    <w:rsid w:val="0083062F"/>
    <w:rsid w:val="00836FA5"/>
    <w:rsid w:val="00837A1B"/>
    <w:rsid w:val="00837B31"/>
    <w:rsid w:val="00841419"/>
    <w:rsid w:val="00841426"/>
    <w:rsid w:val="00842162"/>
    <w:rsid w:val="008451F9"/>
    <w:rsid w:val="00845724"/>
    <w:rsid w:val="00845847"/>
    <w:rsid w:val="00850BAE"/>
    <w:rsid w:val="00850EF1"/>
    <w:rsid w:val="00853A10"/>
    <w:rsid w:val="00854CF2"/>
    <w:rsid w:val="00857460"/>
    <w:rsid w:val="00864C25"/>
    <w:rsid w:val="008675B2"/>
    <w:rsid w:val="00867F09"/>
    <w:rsid w:val="00875DA8"/>
    <w:rsid w:val="00880425"/>
    <w:rsid w:val="00885663"/>
    <w:rsid w:val="00890252"/>
    <w:rsid w:val="00890E5E"/>
    <w:rsid w:val="00895BFF"/>
    <w:rsid w:val="0089713D"/>
    <w:rsid w:val="008A0526"/>
    <w:rsid w:val="008A0C31"/>
    <w:rsid w:val="008A619B"/>
    <w:rsid w:val="008B7E8A"/>
    <w:rsid w:val="008D0F3A"/>
    <w:rsid w:val="008D1A0E"/>
    <w:rsid w:val="008D4F48"/>
    <w:rsid w:val="008E1FDA"/>
    <w:rsid w:val="008E208D"/>
    <w:rsid w:val="008E25C4"/>
    <w:rsid w:val="008E30AA"/>
    <w:rsid w:val="008E3656"/>
    <w:rsid w:val="008E4F3D"/>
    <w:rsid w:val="008E4FCF"/>
    <w:rsid w:val="008E5C65"/>
    <w:rsid w:val="008E68CA"/>
    <w:rsid w:val="008F0C21"/>
    <w:rsid w:val="008F1268"/>
    <w:rsid w:val="008F17B7"/>
    <w:rsid w:val="008F2EAE"/>
    <w:rsid w:val="008F6A8A"/>
    <w:rsid w:val="00900176"/>
    <w:rsid w:val="009014E0"/>
    <w:rsid w:val="0090263B"/>
    <w:rsid w:val="00903756"/>
    <w:rsid w:val="00904860"/>
    <w:rsid w:val="009049E8"/>
    <w:rsid w:val="00906531"/>
    <w:rsid w:val="00913345"/>
    <w:rsid w:val="00916038"/>
    <w:rsid w:val="009243C4"/>
    <w:rsid w:val="00925095"/>
    <w:rsid w:val="00930BEE"/>
    <w:rsid w:val="00933528"/>
    <w:rsid w:val="00935FF8"/>
    <w:rsid w:val="009440B4"/>
    <w:rsid w:val="00944CB7"/>
    <w:rsid w:val="00951946"/>
    <w:rsid w:val="00952FCB"/>
    <w:rsid w:val="00957596"/>
    <w:rsid w:val="00963366"/>
    <w:rsid w:val="009645EB"/>
    <w:rsid w:val="00970FAE"/>
    <w:rsid w:val="00973684"/>
    <w:rsid w:val="0097414E"/>
    <w:rsid w:val="00981629"/>
    <w:rsid w:val="00987316"/>
    <w:rsid w:val="009932C4"/>
    <w:rsid w:val="009934D8"/>
    <w:rsid w:val="009A61FF"/>
    <w:rsid w:val="009A7262"/>
    <w:rsid w:val="009B0167"/>
    <w:rsid w:val="009B0FA9"/>
    <w:rsid w:val="009B18C9"/>
    <w:rsid w:val="009B2B06"/>
    <w:rsid w:val="009B3545"/>
    <w:rsid w:val="009B6064"/>
    <w:rsid w:val="009D0852"/>
    <w:rsid w:val="009D41A5"/>
    <w:rsid w:val="009D6700"/>
    <w:rsid w:val="009D6ED2"/>
    <w:rsid w:val="009D74BD"/>
    <w:rsid w:val="009E0CA9"/>
    <w:rsid w:val="009E5B86"/>
    <w:rsid w:val="009F3382"/>
    <w:rsid w:val="009F33F9"/>
    <w:rsid w:val="009F79B9"/>
    <w:rsid w:val="00A00432"/>
    <w:rsid w:val="00A017D8"/>
    <w:rsid w:val="00A06236"/>
    <w:rsid w:val="00A11FF5"/>
    <w:rsid w:val="00A23ED6"/>
    <w:rsid w:val="00A3108F"/>
    <w:rsid w:val="00A31B34"/>
    <w:rsid w:val="00A32678"/>
    <w:rsid w:val="00A3504E"/>
    <w:rsid w:val="00A35DB3"/>
    <w:rsid w:val="00A3629B"/>
    <w:rsid w:val="00A3698C"/>
    <w:rsid w:val="00A3797A"/>
    <w:rsid w:val="00A37D61"/>
    <w:rsid w:val="00A421EB"/>
    <w:rsid w:val="00A43632"/>
    <w:rsid w:val="00A525E3"/>
    <w:rsid w:val="00A531B3"/>
    <w:rsid w:val="00A5453D"/>
    <w:rsid w:val="00A57B83"/>
    <w:rsid w:val="00A67294"/>
    <w:rsid w:val="00A722E9"/>
    <w:rsid w:val="00A72329"/>
    <w:rsid w:val="00A72554"/>
    <w:rsid w:val="00A74DAA"/>
    <w:rsid w:val="00A874BA"/>
    <w:rsid w:val="00A87F14"/>
    <w:rsid w:val="00A90787"/>
    <w:rsid w:val="00A90A3D"/>
    <w:rsid w:val="00A91A53"/>
    <w:rsid w:val="00A93960"/>
    <w:rsid w:val="00A94C7E"/>
    <w:rsid w:val="00AA0229"/>
    <w:rsid w:val="00AA0656"/>
    <w:rsid w:val="00AA25E0"/>
    <w:rsid w:val="00AB2CF3"/>
    <w:rsid w:val="00AB4C16"/>
    <w:rsid w:val="00AB5021"/>
    <w:rsid w:val="00AC0CF9"/>
    <w:rsid w:val="00AC1147"/>
    <w:rsid w:val="00AC315C"/>
    <w:rsid w:val="00AC4943"/>
    <w:rsid w:val="00AC5AFA"/>
    <w:rsid w:val="00AC5F53"/>
    <w:rsid w:val="00AD11C0"/>
    <w:rsid w:val="00AD4FD2"/>
    <w:rsid w:val="00AD6A39"/>
    <w:rsid w:val="00AE08A9"/>
    <w:rsid w:val="00AF0FA0"/>
    <w:rsid w:val="00AF1D6B"/>
    <w:rsid w:val="00B254BB"/>
    <w:rsid w:val="00B265A8"/>
    <w:rsid w:val="00B27589"/>
    <w:rsid w:val="00B3041E"/>
    <w:rsid w:val="00B34610"/>
    <w:rsid w:val="00B421E3"/>
    <w:rsid w:val="00B44157"/>
    <w:rsid w:val="00B4463A"/>
    <w:rsid w:val="00B500B5"/>
    <w:rsid w:val="00B50EE9"/>
    <w:rsid w:val="00B5366E"/>
    <w:rsid w:val="00B60BBD"/>
    <w:rsid w:val="00B642D4"/>
    <w:rsid w:val="00B6555C"/>
    <w:rsid w:val="00B6750A"/>
    <w:rsid w:val="00B6BBE1"/>
    <w:rsid w:val="00B85C55"/>
    <w:rsid w:val="00B86A2D"/>
    <w:rsid w:val="00B86C78"/>
    <w:rsid w:val="00B87896"/>
    <w:rsid w:val="00B90035"/>
    <w:rsid w:val="00B90EC6"/>
    <w:rsid w:val="00B9194B"/>
    <w:rsid w:val="00B92952"/>
    <w:rsid w:val="00B93D36"/>
    <w:rsid w:val="00BB0EED"/>
    <w:rsid w:val="00BB13F6"/>
    <w:rsid w:val="00BB4B57"/>
    <w:rsid w:val="00BB5252"/>
    <w:rsid w:val="00BB6ADE"/>
    <w:rsid w:val="00BB716E"/>
    <w:rsid w:val="00BC6370"/>
    <w:rsid w:val="00BC7278"/>
    <w:rsid w:val="00BD0051"/>
    <w:rsid w:val="00BD03F5"/>
    <w:rsid w:val="00BD06BC"/>
    <w:rsid w:val="00BD2702"/>
    <w:rsid w:val="00BD7A6F"/>
    <w:rsid w:val="00BE041B"/>
    <w:rsid w:val="00BE3DD5"/>
    <w:rsid w:val="00BE48D7"/>
    <w:rsid w:val="00BF0AB2"/>
    <w:rsid w:val="00BF2252"/>
    <w:rsid w:val="00C03CB8"/>
    <w:rsid w:val="00C14C6F"/>
    <w:rsid w:val="00C169C8"/>
    <w:rsid w:val="00C16E49"/>
    <w:rsid w:val="00C224B0"/>
    <w:rsid w:val="00C226BC"/>
    <w:rsid w:val="00C23846"/>
    <w:rsid w:val="00C259A3"/>
    <w:rsid w:val="00C263AE"/>
    <w:rsid w:val="00C33BA1"/>
    <w:rsid w:val="00C4184F"/>
    <w:rsid w:val="00C4420A"/>
    <w:rsid w:val="00C45D2D"/>
    <w:rsid w:val="00C45D97"/>
    <w:rsid w:val="00C4703A"/>
    <w:rsid w:val="00C50ACC"/>
    <w:rsid w:val="00C51E64"/>
    <w:rsid w:val="00C5631C"/>
    <w:rsid w:val="00C56CF3"/>
    <w:rsid w:val="00C5792E"/>
    <w:rsid w:val="00C60400"/>
    <w:rsid w:val="00C61DE2"/>
    <w:rsid w:val="00C6205C"/>
    <w:rsid w:val="00C62FD0"/>
    <w:rsid w:val="00C67B96"/>
    <w:rsid w:val="00C70329"/>
    <w:rsid w:val="00C7193B"/>
    <w:rsid w:val="00C71CF8"/>
    <w:rsid w:val="00C74500"/>
    <w:rsid w:val="00C75C32"/>
    <w:rsid w:val="00C75E66"/>
    <w:rsid w:val="00C80B28"/>
    <w:rsid w:val="00C831C0"/>
    <w:rsid w:val="00C838CE"/>
    <w:rsid w:val="00C86EA3"/>
    <w:rsid w:val="00C90C55"/>
    <w:rsid w:val="00C9480F"/>
    <w:rsid w:val="00CA15F7"/>
    <w:rsid w:val="00CA2811"/>
    <w:rsid w:val="00CB42A0"/>
    <w:rsid w:val="00CB4BAA"/>
    <w:rsid w:val="00CC4EE6"/>
    <w:rsid w:val="00CC6ACA"/>
    <w:rsid w:val="00CD0E24"/>
    <w:rsid w:val="00CD1EBD"/>
    <w:rsid w:val="00CD51DA"/>
    <w:rsid w:val="00CD6C9F"/>
    <w:rsid w:val="00CE0B0A"/>
    <w:rsid w:val="00CE0BD5"/>
    <w:rsid w:val="00CF104F"/>
    <w:rsid w:val="00CF30D6"/>
    <w:rsid w:val="00D04B56"/>
    <w:rsid w:val="00D04D91"/>
    <w:rsid w:val="00D07ED2"/>
    <w:rsid w:val="00D251D5"/>
    <w:rsid w:val="00D2581F"/>
    <w:rsid w:val="00D26E33"/>
    <w:rsid w:val="00D31B89"/>
    <w:rsid w:val="00D322AD"/>
    <w:rsid w:val="00D361D8"/>
    <w:rsid w:val="00D4362B"/>
    <w:rsid w:val="00D459CF"/>
    <w:rsid w:val="00D47A54"/>
    <w:rsid w:val="00D5372C"/>
    <w:rsid w:val="00D5414A"/>
    <w:rsid w:val="00D5530E"/>
    <w:rsid w:val="00D558C6"/>
    <w:rsid w:val="00D637E1"/>
    <w:rsid w:val="00D64524"/>
    <w:rsid w:val="00D66253"/>
    <w:rsid w:val="00D71806"/>
    <w:rsid w:val="00D751C0"/>
    <w:rsid w:val="00D76FF8"/>
    <w:rsid w:val="00D845FC"/>
    <w:rsid w:val="00D9116D"/>
    <w:rsid w:val="00D95524"/>
    <w:rsid w:val="00DA43DA"/>
    <w:rsid w:val="00DA6B8B"/>
    <w:rsid w:val="00DB13E9"/>
    <w:rsid w:val="00DB30E6"/>
    <w:rsid w:val="00DC0BF0"/>
    <w:rsid w:val="00DC4B9D"/>
    <w:rsid w:val="00DD0A8F"/>
    <w:rsid w:val="00DD2E67"/>
    <w:rsid w:val="00DD4ADB"/>
    <w:rsid w:val="00DD7B2F"/>
    <w:rsid w:val="00DD7BF5"/>
    <w:rsid w:val="00DE2032"/>
    <w:rsid w:val="00DF1C7A"/>
    <w:rsid w:val="00E001C8"/>
    <w:rsid w:val="00E075A7"/>
    <w:rsid w:val="00E10CFB"/>
    <w:rsid w:val="00E10FB2"/>
    <w:rsid w:val="00E11249"/>
    <w:rsid w:val="00E139FA"/>
    <w:rsid w:val="00E23F41"/>
    <w:rsid w:val="00E31CE0"/>
    <w:rsid w:val="00E31D74"/>
    <w:rsid w:val="00E33B87"/>
    <w:rsid w:val="00E3737C"/>
    <w:rsid w:val="00E44D0E"/>
    <w:rsid w:val="00E5079F"/>
    <w:rsid w:val="00E512E6"/>
    <w:rsid w:val="00E51BEA"/>
    <w:rsid w:val="00E53516"/>
    <w:rsid w:val="00E56796"/>
    <w:rsid w:val="00E61BBA"/>
    <w:rsid w:val="00E67383"/>
    <w:rsid w:val="00E7404C"/>
    <w:rsid w:val="00E7584F"/>
    <w:rsid w:val="00E76A76"/>
    <w:rsid w:val="00E81E32"/>
    <w:rsid w:val="00E87F07"/>
    <w:rsid w:val="00EA3226"/>
    <w:rsid w:val="00EA423A"/>
    <w:rsid w:val="00EA4387"/>
    <w:rsid w:val="00EA6ACB"/>
    <w:rsid w:val="00EB1A10"/>
    <w:rsid w:val="00EB33BC"/>
    <w:rsid w:val="00EC59E9"/>
    <w:rsid w:val="00ED1DF0"/>
    <w:rsid w:val="00ED4B9D"/>
    <w:rsid w:val="00EE0F1A"/>
    <w:rsid w:val="00EE4E9F"/>
    <w:rsid w:val="00EE5B65"/>
    <w:rsid w:val="00EF0CA7"/>
    <w:rsid w:val="00EF28C1"/>
    <w:rsid w:val="00EF60A2"/>
    <w:rsid w:val="00EF6884"/>
    <w:rsid w:val="00F01CDE"/>
    <w:rsid w:val="00F02E96"/>
    <w:rsid w:val="00F05570"/>
    <w:rsid w:val="00F062A7"/>
    <w:rsid w:val="00F121AE"/>
    <w:rsid w:val="00F12AD5"/>
    <w:rsid w:val="00F14D47"/>
    <w:rsid w:val="00F16324"/>
    <w:rsid w:val="00F163BD"/>
    <w:rsid w:val="00F21183"/>
    <w:rsid w:val="00F22AC9"/>
    <w:rsid w:val="00F25C05"/>
    <w:rsid w:val="00F26E09"/>
    <w:rsid w:val="00F3415C"/>
    <w:rsid w:val="00F341EF"/>
    <w:rsid w:val="00F37792"/>
    <w:rsid w:val="00F40203"/>
    <w:rsid w:val="00F45B11"/>
    <w:rsid w:val="00F46241"/>
    <w:rsid w:val="00F47E21"/>
    <w:rsid w:val="00F5671C"/>
    <w:rsid w:val="00F60206"/>
    <w:rsid w:val="00F718F5"/>
    <w:rsid w:val="00F7461E"/>
    <w:rsid w:val="00F802EA"/>
    <w:rsid w:val="00F83B39"/>
    <w:rsid w:val="00F84A1A"/>
    <w:rsid w:val="00F913F7"/>
    <w:rsid w:val="00F914BA"/>
    <w:rsid w:val="00F95208"/>
    <w:rsid w:val="00F969AF"/>
    <w:rsid w:val="00FA33A1"/>
    <w:rsid w:val="00FA33C6"/>
    <w:rsid w:val="00FA3FB8"/>
    <w:rsid w:val="00FA51C9"/>
    <w:rsid w:val="00FB1072"/>
    <w:rsid w:val="00FB2BAC"/>
    <w:rsid w:val="00FC1F68"/>
    <w:rsid w:val="00FC30BD"/>
    <w:rsid w:val="00FC608E"/>
    <w:rsid w:val="00FD5D16"/>
    <w:rsid w:val="00FE0AAD"/>
    <w:rsid w:val="00FE16F6"/>
    <w:rsid w:val="00FE2BD4"/>
    <w:rsid w:val="00FE35D4"/>
    <w:rsid w:val="01A1B3ED"/>
    <w:rsid w:val="02ACE14F"/>
    <w:rsid w:val="02D0DE61"/>
    <w:rsid w:val="037B8AD1"/>
    <w:rsid w:val="0388876B"/>
    <w:rsid w:val="03894E10"/>
    <w:rsid w:val="041A91B1"/>
    <w:rsid w:val="047BF66D"/>
    <w:rsid w:val="04F0B6A4"/>
    <w:rsid w:val="058A605F"/>
    <w:rsid w:val="05C54BAC"/>
    <w:rsid w:val="060B2A4E"/>
    <w:rsid w:val="064FC385"/>
    <w:rsid w:val="067937CE"/>
    <w:rsid w:val="06B7C32A"/>
    <w:rsid w:val="06D3950C"/>
    <w:rsid w:val="06EE83CC"/>
    <w:rsid w:val="07307BEE"/>
    <w:rsid w:val="0796C40B"/>
    <w:rsid w:val="07E774D5"/>
    <w:rsid w:val="0811BFBA"/>
    <w:rsid w:val="081C69E3"/>
    <w:rsid w:val="089D03A6"/>
    <w:rsid w:val="0A5A127C"/>
    <w:rsid w:val="0B4749AA"/>
    <w:rsid w:val="0B8C4099"/>
    <w:rsid w:val="0BAE1525"/>
    <w:rsid w:val="0C77E820"/>
    <w:rsid w:val="0C8C2E1B"/>
    <w:rsid w:val="0CDDF206"/>
    <w:rsid w:val="0DC6DDED"/>
    <w:rsid w:val="0DEB6DDD"/>
    <w:rsid w:val="0EE5D622"/>
    <w:rsid w:val="0EF8EACB"/>
    <w:rsid w:val="0FA361E5"/>
    <w:rsid w:val="0FBDF188"/>
    <w:rsid w:val="0FE25F6E"/>
    <w:rsid w:val="101332E9"/>
    <w:rsid w:val="10DE575A"/>
    <w:rsid w:val="10EFB34F"/>
    <w:rsid w:val="1231DA58"/>
    <w:rsid w:val="1297FB4C"/>
    <w:rsid w:val="12AAEC33"/>
    <w:rsid w:val="13641A10"/>
    <w:rsid w:val="145C8812"/>
    <w:rsid w:val="148BD636"/>
    <w:rsid w:val="14D182BC"/>
    <w:rsid w:val="14E1C408"/>
    <w:rsid w:val="15008BC1"/>
    <w:rsid w:val="16157FAF"/>
    <w:rsid w:val="163EFC5F"/>
    <w:rsid w:val="1713D00E"/>
    <w:rsid w:val="175E07A5"/>
    <w:rsid w:val="18E60905"/>
    <w:rsid w:val="18F8C5B8"/>
    <w:rsid w:val="19909777"/>
    <w:rsid w:val="1A7CB661"/>
    <w:rsid w:val="1A97EF75"/>
    <w:rsid w:val="1B81B422"/>
    <w:rsid w:val="1BCEA6A0"/>
    <w:rsid w:val="1D64F214"/>
    <w:rsid w:val="1DBE1A75"/>
    <w:rsid w:val="1F23B44F"/>
    <w:rsid w:val="1F5B895F"/>
    <w:rsid w:val="1FA6A92F"/>
    <w:rsid w:val="1FBC279F"/>
    <w:rsid w:val="1FF6B5CF"/>
    <w:rsid w:val="1FFA5FCE"/>
    <w:rsid w:val="20AE28E8"/>
    <w:rsid w:val="21406F53"/>
    <w:rsid w:val="21510794"/>
    <w:rsid w:val="223DD82A"/>
    <w:rsid w:val="239040AE"/>
    <w:rsid w:val="23E3DFA5"/>
    <w:rsid w:val="243788FA"/>
    <w:rsid w:val="24BA260E"/>
    <w:rsid w:val="24C1A6FB"/>
    <w:rsid w:val="24CDD0F1"/>
    <w:rsid w:val="2500D2BB"/>
    <w:rsid w:val="251A7978"/>
    <w:rsid w:val="2590E584"/>
    <w:rsid w:val="269E8492"/>
    <w:rsid w:val="26ACCD86"/>
    <w:rsid w:val="26B9BCB5"/>
    <w:rsid w:val="26C9E290"/>
    <w:rsid w:val="26CDA0D8"/>
    <w:rsid w:val="2709AA7C"/>
    <w:rsid w:val="276B1173"/>
    <w:rsid w:val="2823AB18"/>
    <w:rsid w:val="286FBDE1"/>
    <w:rsid w:val="2A0CF66B"/>
    <w:rsid w:val="2AAC7FFA"/>
    <w:rsid w:val="2AD3F240"/>
    <w:rsid w:val="2C729437"/>
    <w:rsid w:val="2C7746F2"/>
    <w:rsid w:val="2CDD5CDB"/>
    <w:rsid w:val="2CF04295"/>
    <w:rsid w:val="2D3AE43A"/>
    <w:rsid w:val="2D8A991E"/>
    <w:rsid w:val="2F134695"/>
    <w:rsid w:val="2F612C9F"/>
    <w:rsid w:val="2FD70DD4"/>
    <w:rsid w:val="308DE4CF"/>
    <w:rsid w:val="30C21223"/>
    <w:rsid w:val="30FCE27B"/>
    <w:rsid w:val="31131C15"/>
    <w:rsid w:val="314F3B66"/>
    <w:rsid w:val="321EC794"/>
    <w:rsid w:val="3249E550"/>
    <w:rsid w:val="33387132"/>
    <w:rsid w:val="3468B323"/>
    <w:rsid w:val="3494F5B0"/>
    <w:rsid w:val="350C24D2"/>
    <w:rsid w:val="35B07FD7"/>
    <w:rsid w:val="35D4D13C"/>
    <w:rsid w:val="3612645C"/>
    <w:rsid w:val="3682AB8A"/>
    <w:rsid w:val="3711EC2B"/>
    <w:rsid w:val="376658C4"/>
    <w:rsid w:val="37AB44B6"/>
    <w:rsid w:val="37CEB786"/>
    <w:rsid w:val="3988DA75"/>
    <w:rsid w:val="3A07E0EA"/>
    <w:rsid w:val="3ADE4D9B"/>
    <w:rsid w:val="3C26AEBD"/>
    <w:rsid w:val="3C95981D"/>
    <w:rsid w:val="3CB47995"/>
    <w:rsid w:val="3EA71D11"/>
    <w:rsid w:val="3EBEF8E5"/>
    <w:rsid w:val="3ED68C86"/>
    <w:rsid w:val="3F21EFDD"/>
    <w:rsid w:val="3F369CC3"/>
    <w:rsid w:val="40215A5D"/>
    <w:rsid w:val="40A502CF"/>
    <w:rsid w:val="417A728C"/>
    <w:rsid w:val="417F899E"/>
    <w:rsid w:val="41B10B40"/>
    <w:rsid w:val="426D0F09"/>
    <w:rsid w:val="42E69BE7"/>
    <w:rsid w:val="4340E357"/>
    <w:rsid w:val="43984E88"/>
    <w:rsid w:val="43DD2692"/>
    <w:rsid w:val="4452A66B"/>
    <w:rsid w:val="45038B34"/>
    <w:rsid w:val="45504978"/>
    <w:rsid w:val="4553CDA0"/>
    <w:rsid w:val="457AB80D"/>
    <w:rsid w:val="458D441D"/>
    <w:rsid w:val="45C9FAF2"/>
    <w:rsid w:val="462306A4"/>
    <w:rsid w:val="464958EC"/>
    <w:rsid w:val="467CF47F"/>
    <w:rsid w:val="46CC1C8E"/>
    <w:rsid w:val="475460AA"/>
    <w:rsid w:val="4787A869"/>
    <w:rsid w:val="47A9B909"/>
    <w:rsid w:val="47DFDD54"/>
    <w:rsid w:val="483D2193"/>
    <w:rsid w:val="4913AD0F"/>
    <w:rsid w:val="4945CBB4"/>
    <w:rsid w:val="49B3FDC9"/>
    <w:rsid w:val="49CA6978"/>
    <w:rsid w:val="4A4FE4CF"/>
    <w:rsid w:val="4AF78A0B"/>
    <w:rsid w:val="4B8AAC84"/>
    <w:rsid w:val="4C2ACD67"/>
    <w:rsid w:val="4CBDA553"/>
    <w:rsid w:val="4DD5488C"/>
    <w:rsid w:val="4DF5F92A"/>
    <w:rsid w:val="4E5EE536"/>
    <w:rsid w:val="4E74027D"/>
    <w:rsid w:val="4EC42230"/>
    <w:rsid w:val="4FA10F05"/>
    <w:rsid w:val="4FA30E50"/>
    <w:rsid w:val="5013F622"/>
    <w:rsid w:val="503C52D1"/>
    <w:rsid w:val="505FC531"/>
    <w:rsid w:val="509A9C2F"/>
    <w:rsid w:val="50C24ED9"/>
    <w:rsid w:val="50C9FEA1"/>
    <w:rsid w:val="50F1010D"/>
    <w:rsid w:val="519C6756"/>
    <w:rsid w:val="51EB75B8"/>
    <w:rsid w:val="51F734F6"/>
    <w:rsid w:val="52182AAF"/>
    <w:rsid w:val="526C5095"/>
    <w:rsid w:val="5278EF41"/>
    <w:rsid w:val="52EEDFEB"/>
    <w:rsid w:val="53EE860D"/>
    <w:rsid w:val="5423E57C"/>
    <w:rsid w:val="542CF71F"/>
    <w:rsid w:val="546CDE24"/>
    <w:rsid w:val="54AA3010"/>
    <w:rsid w:val="5511E3E5"/>
    <w:rsid w:val="5582DC6F"/>
    <w:rsid w:val="55B96817"/>
    <w:rsid w:val="5625C77B"/>
    <w:rsid w:val="56B75EF7"/>
    <w:rsid w:val="5760CF26"/>
    <w:rsid w:val="5778F155"/>
    <w:rsid w:val="57FE5C69"/>
    <w:rsid w:val="58D3A5AD"/>
    <w:rsid w:val="58DF2B24"/>
    <w:rsid w:val="595DF244"/>
    <w:rsid w:val="59647A63"/>
    <w:rsid w:val="5A01C63F"/>
    <w:rsid w:val="5ABDCA3E"/>
    <w:rsid w:val="5B1028A7"/>
    <w:rsid w:val="5C5709C0"/>
    <w:rsid w:val="5C5B3CBE"/>
    <w:rsid w:val="5C6116B3"/>
    <w:rsid w:val="5CFA5564"/>
    <w:rsid w:val="5EA324E6"/>
    <w:rsid w:val="5EBA1DBA"/>
    <w:rsid w:val="5F4C8A92"/>
    <w:rsid w:val="5FB1169D"/>
    <w:rsid w:val="5FF9AF21"/>
    <w:rsid w:val="601FD3A9"/>
    <w:rsid w:val="602974C9"/>
    <w:rsid w:val="6066B103"/>
    <w:rsid w:val="6070CDC6"/>
    <w:rsid w:val="615C1FC8"/>
    <w:rsid w:val="618ADD53"/>
    <w:rsid w:val="61A4DBF7"/>
    <w:rsid w:val="61BEC43A"/>
    <w:rsid w:val="6229B90C"/>
    <w:rsid w:val="62712B67"/>
    <w:rsid w:val="6322414A"/>
    <w:rsid w:val="632A1BEC"/>
    <w:rsid w:val="6337698A"/>
    <w:rsid w:val="635C606C"/>
    <w:rsid w:val="63D9FA68"/>
    <w:rsid w:val="645BCE28"/>
    <w:rsid w:val="64B0DFD3"/>
    <w:rsid w:val="64B248F4"/>
    <w:rsid w:val="65B271BE"/>
    <w:rsid w:val="660AD8A2"/>
    <w:rsid w:val="66107019"/>
    <w:rsid w:val="66D68615"/>
    <w:rsid w:val="66DF464E"/>
    <w:rsid w:val="67233B0E"/>
    <w:rsid w:val="675B822D"/>
    <w:rsid w:val="6820AD16"/>
    <w:rsid w:val="68943B9A"/>
    <w:rsid w:val="692DAAC8"/>
    <w:rsid w:val="6982C498"/>
    <w:rsid w:val="6AA15712"/>
    <w:rsid w:val="6AD04640"/>
    <w:rsid w:val="6AECAE22"/>
    <w:rsid w:val="6B4D5AD0"/>
    <w:rsid w:val="6BA25BC4"/>
    <w:rsid w:val="6BAD25B2"/>
    <w:rsid w:val="6BD692C3"/>
    <w:rsid w:val="6BE917D9"/>
    <w:rsid w:val="6C46B401"/>
    <w:rsid w:val="6C5C5B0A"/>
    <w:rsid w:val="6D3577BB"/>
    <w:rsid w:val="6D69CA45"/>
    <w:rsid w:val="6D8E007B"/>
    <w:rsid w:val="6E03188B"/>
    <w:rsid w:val="6ED223A6"/>
    <w:rsid w:val="6EDCC28B"/>
    <w:rsid w:val="6EEE94B0"/>
    <w:rsid w:val="6F02E5AD"/>
    <w:rsid w:val="6F4E62F5"/>
    <w:rsid w:val="6F542F0D"/>
    <w:rsid w:val="6F638FA4"/>
    <w:rsid w:val="6F6E384D"/>
    <w:rsid w:val="6F8289C2"/>
    <w:rsid w:val="6F9E8FA4"/>
    <w:rsid w:val="6FCAEBAE"/>
    <w:rsid w:val="7071A280"/>
    <w:rsid w:val="70CA6BFF"/>
    <w:rsid w:val="710F8488"/>
    <w:rsid w:val="72103ECD"/>
    <w:rsid w:val="721EBDDF"/>
    <w:rsid w:val="72537E9F"/>
    <w:rsid w:val="73B0BFE1"/>
    <w:rsid w:val="745AA283"/>
    <w:rsid w:val="747200C7"/>
    <w:rsid w:val="74F29918"/>
    <w:rsid w:val="750C107E"/>
    <w:rsid w:val="75CF35DB"/>
    <w:rsid w:val="76487429"/>
    <w:rsid w:val="76B80A65"/>
    <w:rsid w:val="77EAA72B"/>
    <w:rsid w:val="77F5391B"/>
    <w:rsid w:val="780B701C"/>
    <w:rsid w:val="781ACCD6"/>
    <w:rsid w:val="782C91A4"/>
    <w:rsid w:val="782F9E1A"/>
    <w:rsid w:val="786A7F3E"/>
    <w:rsid w:val="7871131E"/>
    <w:rsid w:val="78E3755C"/>
    <w:rsid w:val="7A48FEB7"/>
    <w:rsid w:val="7A817F8F"/>
    <w:rsid w:val="7AF19E59"/>
    <w:rsid w:val="7B7D0959"/>
    <w:rsid w:val="7BBD8F36"/>
    <w:rsid w:val="7CB6906A"/>
    <w:rsid w:val="7D706FFD"/>
    <w:rsid w:val="7E1E1396"/>
    <w:rsid w:val="7E3C0EF5"/>
    <w:rsid w:val="7E58F605"/>
    <w:rsid w:val="7E7BBBEA"/>
    <w:rsid w:val="7EAE8BBB"/>
    <w:rsid w:val="7EC1A1AC"/>
    <w:rsid w:val="7EF49880"/>
    <w:rsid w:val="7F615D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622B1"/>
  <w15:chartTrackingRefBased/>
  <w15:docId w15:val="{E78B0E46-B66A-43B6-B66F-41C76F6C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24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4BA"/>
  </w:style>
  <w:style w:type="paragraph" w:styleId="Footer">
    <w:name w:val="footer"/>
    <w:basedOn w:val="Normal"/>
    <w:link w:val="FooterChar"/>
    <w:uiPriority w:val="99"/>
    <w:unhideWhenUsed/>
    <w:rsid w:val="00A87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4BA"/>
  </w:style>
  <w:style w:type="paragraph" w:styleId="Title">
    <w:name w:val="Title"/>
    <w:basedOn w:val="Normal"/>
    <w:next w:val="Normal"/>
    <w:link w:val="TitleChar"/>
    <w:uiPriority w:val="10"/>
    <w:qFormat/>
    <w:rsid w:val="00A874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74B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874B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74BA"/>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C224B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24B0"/>
    <w:rPr>
      <w:i/>
      <w:iCs/>
      <w:color w:val="4472C4" w:themeColor="accent1"/>
    </w:rPr>
  </w:style>
  <w:style w:type="character" w:customStyle="1" w:styleId="Heading1Char">
    <w:name w:val="Heading 1 Char"/>
    <w:basedOn w:val="DefaultParagraphFont"/>
    <w:link w:val="Heading1"/>
    <w:uiPriority w:val="9"/>
    <w:rsid w:val="00C224B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7440D"/>
    <w:pPr>
      <w:ind w:left="720"/>
      <w:contextualSpacing/>
    </w:pPr>
  </w:style>
  <w:style w:type="paragraph" w:styleId="NormalWeb">
    <w:name w:val="Normal (Web)"/>
    <w:basedOn w:val="Normal"/>
    <w:uiPriority w:val="99"/>
    <w:semiHidden/>
    <w:unhideWhenUsed/>
    <w:rsid w:val="00B85C5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25C05"/>
    <w:rPr>
      <w:sz w:val="16"/>
      <w:szCs w:val="16"/>
    </w:rPr>
  </w:style>
  <w:style w:type="paragraph" w:styleId="CommentText">
    <w:name w:val="annotation text"/>
    <w:basedOn w:val="Normal"/>
    <w:link w:val="CommentTextChar"/>
    <w:uiPriority w:val="99"/>
    <w:unhideWhenUsed/>
    <w:rsid w:val="00F25C05"/>
    <w:pPr>
      <w:spacing w:line="240" w:lineRule="auto"/>
    </w:pPr>
    <w:rPr>
      <w:sz w:val="20"/>
      <w:szCs w:val="20"/>
    </w:rPr>
  </w:style>
  <w:style w:type="character" w:customStyle="1" w:styleId="CommentTextChar">
    <w:name w:val="Comment Text Char"/>
    <w:basedOn w:val="DefaultParagraphFont"/>
    <w:link w:val="CommentText"/>
    <w:uiPriority w:val="99"/>
    <w:rsid w:val="00F25C05"/>
    <w:rPr>
      <w:sz w:val="20"/>
      <w:szCs w:val="20"/>
    </w:rPr>
  </w:style>
  <w:style w:type="paragraph" w:styleId="CommentSubject">
    <w:name w:val="annotation subject"/>
    <w:basedOn w:val="CommentText"/>
    <w:next w:val="CommentText"/>
    <w:link w:val="CommentSubjectChar"/>
    <w:uiPriority w:val="99"/>
    <w:semiHidden/>
    <w:unhideWhenUsed/>
    <w:rsid w:val="00F25C05"/>
    <w:rPr>
      <w:b/>
      <w:bCs/>
    </w:rPr>
  </w:style>
  <w:style w:type="character" w:customStyle="1" w:styleId="CommentSubjectChar">
    <w:name w:val="Comment Subject Char"/>
    <w:basedOn w:val="CommentTextChar"/>
    <w:link w:val="CommentSubject"/>
    <w:uiPriority w:val="99"/>
    <w:semiHidden/>
    <w:rsid w:val="00F25C05"/>
    <w:rPr>
      <w:b/>
      <w:bCs/>
      <w:sz w:val="20"/>
      <w:szCs w:val="20"/>
    </w:rPr>
  </w:style>
  <w:style w:type="character" w:styleId="Hyperlink">
    <w:name w:val="Hyperlink"/>
    <w:basedOn w:val="DefaultParagraphFont"/>
    <w:uiPriority w:val="99"/>
    <w:unhideWhenUsed/>
    <w:rsid w:val="00487FF7"/>
    <w:rPr>
      <w:color w:val="0563C1" w:themeColor="hyperlink"/>
      <w:u w:val="single"/>
    </w:rPr>
  </w:style>
  <w:style w:type="character" w:styleId="UnresolvedMention">
    <w:name w:val="Unresolved Mention"/>
    <w:basedOn w:val="DefaultParagraphFont"/>
    <w:uiPriority w:val="99"/>
    <w:unhideWhenUsed/>
    <w:rsid w:val="00487FF7"/>
    <w:rPr>
      <w:color w:val="605E5C"/>
      <w:shd w:val="clear" w:color="auto" w:fill="E1DFDD"/>
    </w:rPr>
  </w:style>
  <w:style w:type="paragraph" w:styleId="NoSpacing">
    <w:name w:val="No Spacing"/>
    <w:uiPriority w:val="1"/>
    <w:qFormat/>
    <w:rsid w:val="00391BE1"/>
    <w:pPr>
      <w:spacing w:after="0" w:line="240" w:lineRule="auto"/>
    </w:pPr>
  </w:style>
  <w:style w:type="paragraph" w:styleId="Caption">
    <w:name w:val="caption"/>
    <w:basedOn w:val="Normal"/>
    <w:next w:val="Normal"/>
    <w:uiPriority w:val="35"/>
    <w:unhideWhenUsed/>
    <w:qFormat/>
    <w:rsid w:val="002C6C0A"/>
    <w:pPr>
      <w:keepNext/>
      <w:spacing w:after="200" w:line="240" w:lineRule="auto"/>
      <w:jc w:val="center"/>
    </w:pPr>
    <w:rPr>
      <w:color w:val="44546A" w:themeColor="text2"/>
    </w:rPr>
  </w:style>
  <w:style w:type="paragraph" w:styleId="Revision">
    <w:name w:val="Revision"/>
    <w:hidden/>
    <w:uiPriority w:val="99"/>
    <w:semiHidden/>
    <w:rsid w:val="004E71C1"/>
    <w:pPr>
      <w:spacing w:after="0" w:line="240" w:lineRule="auto"/>
    </w:pPr>
  </w:style>
  <w:style w:type="table" w:styleId="PlainTable1">
    <w:name w:val="Plain Table 1"/>
    <w:basedOn w:val="TableNormal"/>
    <w:uiPriority w:val="41"/>
    <w:rsid w:val="00EE4E9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
    <w:name w:val="Mention"/>
    <w:basedOn w:val="DefaultParagraphFont"/>
    <w:uiPriority w:val="99"/>
    <w:unhideWhenUsed/>
    <w:rsid w:val="00470A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5591">
      <w:bodyDiv w:val="1"/>
      <w:marLeft w:val="0"/>
      <w:marRight w:val="0"/>
      <w:marTop w:val="0"/>
      <w:marBottom w:val="0"/>
      <w:divBdr>
        <w:top w:val="none" w:sz="0" w:space="0" w:color="auto"/>
        <w:left w:val="none" w:sz="0" w:space="0" w:color="auto"/>
        <w:bottom w:val="none" w:sz="0" w:space="0" w:color="auto"/>
        <w:right w:val="none" w:sz="0" w:space="0" w:color="auto"/>
      </w:divBdr>
    </w:div>
    <w:div w:id="571233156">
      <w:bodyDiv w:val="1"/>
      <w:marLeft w:val="0"/>
      <w:marRight w:val="0"/>
      <w:marTop w:val="0"/>
      <w:marBottom w:val="0"/>
      <w:divBdr>
        <w:top w:val="none" w:sz="0" w:space="0" w:color="auto"/>
        <w:left w:val="none" w:sz="0" w:space="0" w:color="auto"/>
        <w:bottom w:val="none" w:sz="0" w:space="0" w:color="auto"/>
        <w:right w:val="none" w:sz="0" w:space="0" w:color="auto"/>
      </w:divBdr>
    </w:div>
    <w:div w:id="2053726991">
      <w:bodyDiv w:val="1"/>
      <w:marLeft w:val="0"/>
      <w:marRight w:val="0"/>
      <w:marTop w:val="0"/>
      <w:marBottom w:val="0"/>
      <w:divBdr>
        <w:top w:val="none" w:sz="0" w:space="0" w:color="auto"/>
        <w:left w:val="none" w:sz="0" w:space="0" w:color="auto"/>
        <w:bottom w:val="none" w:sz="0" w:space="0" w:color="auto"/>
        <w:right w:val="none" w:sz="0" w:space="0" w:color="auto"/>
      </w:divBdr>
    </w:div>
    <w:div w:id="210333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sv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 Id="rId27" Type="http://schemas.microsoft.com/office/2019/05/relationships/documenttasks" Target="documenttasks/documenttasks1.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3" Type="http://schemas.openxmlformats.org/officeDocument/2006/relationships/oleObject" Target="https://pennstateoffice365.sharepoint.com/sites/OPA-LOA/Shared%20Documents/General%20Education/GELO%20Assessments/Effective%20Comm%20Assessment/Data/WorkingData28June2022_serp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75000"/>
                    <a:lumOff val="25000"/>
                  </a:schemeClr>
                </a:solidFill>
                <a:latin typeface="Avenir Next LT Pro" panose="020B0504020202020204" pitchFamily="34" charset="0"/>
                <a:ea typeface="+mn-ea"/>
                <a:cs typeface="+mn-cs"/>
              </a:defRPr>
            </a:pPr>
            <a:r>
              <a:rPr lang="en-US"/>
              <a:t>Overall</a:t>
            </a:r>
            <a:r>
              <a:rPr lang="en-US" baseline="0"/>
              <a:t> Proficiency with</a:t>
            </a:r>
          </a:p>
          <a:p>
            <a:pPr>
              <a:defRPr/>
            </a:pPr>
            <a:r>
              <a:rPr lang="en-US" baseline="0"/>
              <a:t>Effective Communication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75000"/>
                  <a:lumOff val="25000"/>
                </a:schemeClr>
              </a:solidFill>
              <a:latin typeface="Avenir Next LT Pro" panose="020B0504020202020204" pitchFamily="34" charset="0"/>
              <a:ea typeface="+mn-ea"/>
              <a:cs typeface="+mn-cs"/>
            </a:defRPr>
          </a:pPr>
          <a:endParaRPr lang="en-US"/>
        </a:p>
      </c:txPr>
    </c:title>
    <c:autoTitleDeleted val="0"/>
    <c:plotArea>
      <c:layout>
        <c:manualLayout>
          <c:layoutTarget val="inner"/>
          <c:xMode val="edge"/>
          <c:yMode val="edge"/>
          <c:x val="0.24421090886914867"/>
          <c:y val="0.20697473686475576"/>
          <c:w val="0.68785520559930013"/>
          <c:h val="0.57972250845361128"/>
        </c:manualLayout>
      </c:layout>
      <c:barChart>
        <c:barDir val="bar"/>
        <c:grouping val="percentStacked"/>
        <c:varyColors val="0"/>
        <c:ser>
          <c:idx val="0"/>
          <c:order val="0"/>
          <c:tx>
            <c:strRef>
              <c:f>Overall!$AA$16</c:f>
              <c:strCache>
                <c:ptCount val="1"/>
                <c:pt idx="0">
                  <c:v>Developing</c:v>
                </c:pt>
              </c:strCache>
            </c:strRef>
          </c:tx>
          <c:spPr>
            <a:solidFill>
              <a:srgbClr val="A2AAAD"/>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venir Next LT Pro" panose="020B05040202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Overall!$Z$17:$Z$19</c:f>
              <c:strCache>
                <c:ptCount val="3"/>
                <c:pt idx="0">
                  <c:v>EC 3:
Adapatation
to Audience</c:v>
                </c:pt>
                <c:pt idx="1">
                  <c:v>EC 2:
Delivery</c:v>
                </c:pt>
                <c:pt idx="2">
                  <c:v>EC 1:
Substance</c:v>
                </c:pt>
              </c:strCache>
            </c:strRef>
          </c:cat>
          <c:val>
            <c:numRef>
              <c:f>Overall!$AA$17:$AA$19</c:f>
              <c:numCache>
                <c:formatCode>0%</c:formatCode>
                <c:ptCount val="3"/>
                <c:pt idx="0">
                  <c:v>0.17651395471300685</c:v>
                </c:pt>
                <c:pt idx="1">
                  <c:v>0.16276595744680852</c:v>
                </c:pt>
                <c:pt idx="2">
                  <c:v>0.14322280395578824</c:v>
                </c:pt>
              </c:numCache>
            </c:numRef>
          </c:val>
          <c:extLst>
            <c:ext xmlns:c16="http://schemas.microsoft.com/office/drawing/2014/chart" uri="{C3380CC4-5D6E-409C-BE32-E72D297353CC}">
              <c16:uniqueId val="{00000000-2B2B-4DDC-9F82-87695CB9AB67}"/>
            </c:ext>
          </c:extLst>
        </c:ser>
        <c:ser>
          <c:idx val="1"/>
          <c:order val="1"/>
          <c:tx>
            <c:strRef>
              <c:f>Overall!$AB$16</c:f>
              <c:strCache>
                <c:ptCount val="1"/>
                <c:pt idx="0">
                  <c:v>Satisfactory</c:v>
                </c:pt>
              </c:strCache>
            </c:strRef>
          </c:tx>
          <c:spPr>
            <a:solidFill>
              <a:srgbClr val="1E407C"/>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venir Next LT Pro" panose="020B05040202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Overall!$Z$17:$Z$19</c:f>
              <c:strCache>
                <c:ptCount val="3"/>
                <c:pt idx="0">
                  <c:v>EC 3:
Adapatation
to Audience</c:v>
                </c:pt>
                <c:pt idx="1">
                  <c:v>EC 2:
Delivery</c:v>
                </c:pt>
                <c:pt idx="2">
                  <c:v>EC 1:
Substance</c:v>
                </c:pt>
              </c:strCache>
            </c:strRef>
          </c:cat>
          <c:val>
            <c:numRef>
              <c:f>Overall!$AB$17:$AB$19</c:f>
              <c:numCache>
                <c:formatCode>0%</c:formatCode>
                <c:ptCount val="3"/>
                <c:pt idx="0">
                  <c:v>0.39778830963665085</c:v>
                </c:pt>
                <c:pt idx="1">
                  <c:v>0.43914893617021278</c:v>
                </c:pt>
                <c:pt idx="2">
                  <c:v>0.38603839441535776</c:v>
                </c:pt>
              </c:numCache>
            </c:numRef>
          </c:val>
          <c:extLst>
            <c:ext xmlns:c16="http://schemas.microsoft.com/office/drawing/2014/chart" uri="{C3380CC4-5D6E-409C-BE32-E72D297353CC}">
              <c16:uniqueId val="{00000001-2B2B-4DDC-9F82-87695CB9AB67}"/>
            </c:ext>
          </c:extLst>
        </c:ser>
        <c:ser>
          <c:idx val="2"/>
          <c:order val="2"/>
          <c:tx>
            <c:strRef>
              <c:f>Overall!$AC$16</c:f>
              <c:strCache>
                <c:ptCount val="1"/>
                <c:pt idx="0">
                  <c:v>Exemplary</c:v>
                </c:pt>
              </c:strCache>
            </c:strRef>
          </c:tx>
          <c:spPr>
            <a:solidFill>
              <a:srgbClr val="3EA39E"/>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venir Next LT Pro" panose="020B05040202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Overall!$Z$17:$Z$19</c:f>
              <c:strCache>
                <c:ptCount val="3"/>
                <c:pt idx="0">
                  <c:v>EC 3:
Adapatation
to Audience</c:v>
                </c:pt>
                <c:pt idx="1">
                  <c:v>EC 2:
Delivery</c:v>
                </c:pt>
                <c:pt idx="2">
                  <c:v>EC 1:
Substance</c:v>
                </c:pt>
              </c:strCache>
            </c:strRef>
          </c:cat>
          <c:val>
            <c:numRef>
              <c:f>Overall!$AC$17:$AC$19</c:f>
              <c:numCache>
                <c:formatCode>0%</c:formatCode>
                <c:ptCount val="3"/>
                <c:pt idx="0">
                  <c:v>0.4256977356503423</c:v>
                </c:pt>
                <c:pt idx="1">
                  <c:v>0.39808510638297873</c:v>
                </c:pt>
                <c:pt idx="2">
                  <c:v>0.47073880162885401</c:v>
                </c:pt>
              </c:numCache>
            </c:numRef>
          </c:val>
          <c:extLst>
            <c:ext xmlns:c16="http://schemas.microsoft.com/office/drawing/2014/chart" uri="{C3380CC4-5D6E-409C-BE32-E72D297353CC}">
              <c16:uniqueId val="{00000002-2B2B-4DDC-9F82-87695CB9AB67}"/>
            </c:ext>
          </c:extLst>
        </c:ser>
        <c:dLbls>
          <c:showLegendKey val="0"/>
          <c:showVal val="0"/>
          <c:showCatName val="0"/>
          <c:showSerName val="0"/>
          <c:showPercent val="0"/>
          <c:showBubbleSize val="0"/>
        </c:dLbls>
        <c:gapWidth val="150"/>
        <c:overlap val="100"/>
        <c:axId val="1744850879"/>
        <c:axId val="1744857951"/>
      </c:barChart>
      <c:catAx>
        <c:axId val="17448508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75000"/>
                    <a:lumOff val="25000"/>
                  </a:schemeClr>
                </a:solidFill>
                <a:latin typeface="Avenir Next LT Pro" panose="020B0504020202020204" pitchFamily="34" charset="0"/>
                <a:ea typeface="+mn-ea"/>
                <a:cs typeface="+mn-cs"/>
              </a:defRPr>
            </a:pPr>
            <a:endParaRPr lang="en-US"/>
          </a:p>
        </c:txPr>
        <c:crossAx val="1744857951"/>
        <c:crosses val="autoZero"/>
        <c:auto val="1"/>
        <c:lblAlgn val="ctr"/>
        <c:lblOffset val="100"/>
        <c:noMultiLvlLbl val="0"/>
      </c:catAx>
      <c:valAx>
        <c:axId val="174485795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lumOff val="25000"/>
                  </a:schemeClr>
                </a:solidFill>
                <a:latin typeface="Avenir Next LT Pro" panose="020B0504020202020204" pitchFamily="34" charset="0"/>
                <a:ea typeface="+mn-ea"/>
                <a:cs typeface="+mn-cs"/>
              </a:defRPr>
            </a:pPr>
            <a:endParaRPr lang="en-US"/>
          </a:p>
        </c:txPr>
        <c:crossAx val="1744850879"/>
        <c:crosses val="autoZero"/>
        <c:crossBetween val="between"/>
      </c:valAx>
      <c:spPr>
        <a:noFill/>
        <a:ln>
          <a:noFill/>
        </a:ln>
        <a:effectLst/>
      </c:spPr>
    </c:plotArea>
    <c:legend>
      <c:legendPos val="b"/>
      <c:layout>
        <c:manualLayout>
          <c:xMode val="edge"/>
          <c:yMode val="edge"/>
          <c:x val="0.26332719938857224"/>
          <c:y val="0.89409654556794071"/>
          <c:w val="0.5550555800802417"/>
          <c:h val="7.407490959850596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venir Next LT Pro" panose="020B0504020202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75000"/>
              <a:lumOff val="25000"/>
            </a:schemeClr>
          </a:solidFill>
          <a:latin typeface="Avenir Next LT Pro" panose="020B05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DC8E1796-454A-4775-99C6-BF27D7652EB4}">
    <t:Anchor>
      <t:Comment id="543537321"/>
    </t:Anchor>
    <t:History>
      <t:Event id="{3C6630B1-7FD0-417F-B1A6-BF3092761F8A}" time="2022-10-17T20:57:23.076Z">
        <t:Attribution userId="S::bjh17@psu.edu::2e72dcd0-94f5-4991-b204-38ef934a08fd" userProvider="AD" userName="Harper, Betty J"/>
        <t:Anchor>
          <t:Comment id="59948281"/>
        </t:Anchor>
        <t:Create/>
      </t:Event>
      <t:Event id="{1F3FAE78-1A36-4FF6-8E34-A641DB0AC2DE}" time="2022-10-17T20:57:23.076Z">
        <t:Attribution userId="S::bjh17@psu.edu::2e72dcd0-94f5-4991-b204-38ef934a08fd" userProvider="AD" userName="Harper, Betty J"/>
        <t:Anchor>
          <t:Comment id="59948281"/>
        </t:Anchor>
        <t:Assign userId="S::mas963@psu.edu::92bcc6e0-fc86-4530-bd86-71e5d4f69dfe" userProvider="AD" userName="Serpi, Alex"/>
      </t:Event>
      <t:Event id="{58CABF87-5232-4701-A391-D18CAD61A49C}" time="2022-10-17T20:57:23.076Z">
        <t:Attribution userId="S::bjh17@psu.edu::2e72dcd0-94f5-4991-b204-38ef934a08fd" userProvider="AD" userName="Harper, Betty J"/>
        <t:Anchor>
          <t:Comment id="59948281"/>
        </t:Anchor>
        <t:SetTitle title="@Serpi, Alex can you add a table that breaks this down by campu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97e4fff-7901-42a5-a2b5-215bf26317d3">
      <UserInfo>
        <DisplayName>Slattery, Maggie</DisplayName>
        <AccountId>343</AccountId>
        <AccountType/>
      </UserInfo>
    </SharedWithUsers>
    <TaxCatchAll xmlns="897e4fff-7901-42a5-a2b5-215bf26317d3" xsi:nil="true"/>
    <lcf76f155ced4ddcb4097134ff3c332f xmlns="20818968-a2d3-4693-9773-ea34334db94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5" ma:contentTypeDescription="Create a new document." ma:contentTypeScope="" ma:versionID="cbf81c4679d1079b66c28a3c9a7f276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0ddce09e34b649c6fc7a2d232a6e00da"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9b360c1-6988-43a0-adfa-23ea6ee24841}" ma:internalName="TaxCatchAll" ma:showField="CatchAllData" ma:web="897e4fff-7901-42a5-a2b5-215bf26317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2B9905-5059-4289-9337-15D454134F8C}">
  <ds:schemaRefs>
    <ds:schemaRef ds:uri="http://schemas.microsoft.com/office/2006/metadata/properties"/>
    <ds:schemaRef ds:uri="http://schemas.microsoft.com/office/infopath/2007/PartnerControls"/>
    <ds:schemaRef ds:uri="897e4fff-7901-42a5-a2b5-215bf26317d3"/>
    <ds:schemaRef ds:uri="20818968-a2d3-4693-9773-ea34334db945"/>
  </ds:schemaRefs>
</ds:datastoreItem>
</file>

<file path=customXml/itemProps2.xml><?xml version="1.0" encoding="utf-8"?>
<ds:datastoreItem xmlns:ds="http://schemas.openxmlformats.org/officeDocument/2006/customXml" ds:itemID="{5D3AD036-79FD-49B4-8E74-3A2E82CEC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1F773A-D343-4D6E-BCA0-0B4C28FCA938}">
  <ds:schemaRefs>
    <ds:schemaRef ds:uri="http://schemas.openxmlformats.org/officeDocument/2006/bibliography"/>
  </ds:schemaRefs>
</ds:datastoreItem>
</file>

<file path=customXml/itemProps4.xml><?xml version="1.0" encoding="utf-8"?>
<ds:datastoreItem xmlns:ds="http://schemas.openxmlformats.org/officeDocument/2006/customXml" ds:itemID="{EB8492B1-9C09-413C-BB08-06816B6F6006}">
  <ds:schemaRefs>
    <ds:schemaRef ds:uri="http://schemas.microsoft.com/sharepoint/v3/contenttype/forms"/>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Normal.dotm</Template>
  <TotalTime>170</TotalTime>
  <Pages>1</Pages>
  <Words>2466</Words>
  <Characters>14061</Characters>
  <Application>Microsoft Office Word</Application>
  <DocSecurity>4</DocSecurity>
  <Lines>117</Lines>
  <Paragraphs>32</Paragraphs>
  <ScaleCrop>false</ScaleCrop>
  <Company>The Pennsylvania State University</Company>
  <LinksUpToDate>false</LinksUpToDate>
  <CharactersWithSpaces>16495</CharactersWithSpaces>
  <SharedDoc>false</SharedDoc>
  <HLinks>
    <vt:vector size="6" baseType="variant">
      <vt:variant>
        <vt:i4>1441838</vt:i4>
      </vt:variant>
      <vt:variant>
        <vt:i4>0</vt:i4>
      </vt:variant>
      <vt:variant>
        <vt:i4>0</vt:i4>
      </vt:variant>
      <vt:variant>
        <vt:i4>5</vt:i4>
      </vt:variant>
      <vt:variant>
        <vt:lpwstr/>
      </vt:variant>
      <vt:variant>
        <vt:lpwstr>_Appendix</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Betty J</dc:creator>
  <cp:keywords/>
  <dc:description/>
  <cp:lastModifiedBy>Harper, Betty J</cp:lastModifiedBy>
  <cp:revision>16</cp:revision>
  <dcterms:created xsi:type="dcterms:W3CDTF">2023-01-31T19:54:00Z</dcterms:created>
  <dcterms:modified xsi:type="dcterms:W3CDTF">2023-01-31T23:54:00Z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0x010100877AE86B3080C04FBEA641DDF1A26023</vt:lpwstr>
  </property>
  <property fmtid="{D5CDD505-2E9C-101B-9397-08002B2CF9AE}" pid="3" name="MediaServiceImageTags">
    <vt:lpwstr/>
  </property>
</Properties>
</file>